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5CF" w:rsidRDefault="009135CF" w:rsidP="007F683D">
      <w:pPr>
        <w:spacing w:after="0" w:line="240" w:lineRule="auto"/>
        <w:rPr>
          <w:rFonts w:ascii="Verdana" w:eastAsia="Times New Roman" w:hAnsi="Verdana" w:cs="Times New Roman"/>
          <w:b/>
          <w:smallCaps/>
          <w:color w:val="003366"/>
          <w:sz w:val="36"/>
          <w:szCs w:val="36"/>
        </w:rPr>
      </w:pPr>
    </w:p>
    <w:p w:rsidR="009135CF" w:rsidRPr="009135CF" w:rsidRDefault="009135CF" w:rsidP="007F683D">
      <w:pPr>
        <w:keepNext/>
        <w:spacing w:after="0" w:line="240" w:lineRule="auto"/>
        <w:outlineLvl w:val="0"/>
        <w:rPr>
          <w:rFonts w:eastAsia="Times New Roman" w:cstheme="minorHAnsi"/>
          <w:b/>
          <w:color w:val="003366"/>
          <w:sz w:val="24"/>
          <w:szCs w:val="20"/>
        </w:rPr>
      </w:pPr>
      <w:r w:rsidRPr="009135CF">
        <w:rPr>
          <w:rFonts w:eastAsia="Times New Roman" w:cstheme="minorHAnsi"/>
          <w:b/>
          <w:color w:val="003366"/>
          <w:sz w:val="28"/>
          <w:szCs w:val="20"/>
        </w:rPr>
        <w:t>For Immediate Release</w:t>
      </w:r>
      <w:r w:rsidRPr="009135CF">
        <w:rPr>
          <w:rFonts w:eastAsia="Times New Roman" w:cstheme="minorHAnsi"/>
          <w:b/>
          <w:color w:val="003366"/>
          <w:sz w:val="24"/>
          <w:szCs w:val="20"/>
        </w:rPr>
        <w:tab/>
      </w:r>
      <w:r w:rsidRPr="009135CF">
        <w:rPr>
          <w:rFonts w:eastAsia="Times New Roman" w:cstheme="minorHAnsi"/>
          <w:b/>
          <w:color w:val="003366"/>
          <w:sz w:val="24"/>
          <w:szCs w:val="20"/>
        </w:rPr>
        <w:tab/>
      </w:r>
      <w:r w:rsidRPr="009135CF">
        <w:rPr>
          <w:rFonts w:eastAsia="Times New Roman" w:cstheme="minorHAnsi"/>
          <w:b/>
          <w:color w:val="003366"/>
          <w:sz w:val="24"/>
          <w:szCs w:val="20"/>
        </w:rPr>
        <w:tab/>
      </w:r>
      <w:r w:rsidRPr="009135CF">
        <w:rPr>
          <w:rFonts w:eastAsia="Times New Roman" w:cstheme="minorHAnsi"/>
          <w:b/>
          <w:color w:val="003366"/>
          <w:sz w:val="24"/>
          <w:szCs w:val="20"/>
        </w:rPr>
        <w:tab/>
      </w:r>
      <w:r w:rsidRPr="009135CF">
        <w:rPr>
          <w:rFonts w:eastAsia="Times New Roman" w:cstheme="minorHAnsi"/>
          <w:b/>
          <w:color w:val="003366"/>
          <w:sz w:val="24"/>
          <w:szCs w:val="20"/>
        </w:rPr>
        <w:tab/>
      </w:r>
      <w:r w:rsidRPr="009135CF">
        <w:rPr>
          <w:rFonts w:eastAsia="Times New Roman" w:cstheme="minorHAnsi"/>
          <w:b/>
          <w:color w:val="003366"/>
          <w:sz w:val="24"/>
          <w:szCs w:val="20"/>
        </w:rPr>
        <w:tab/>
      </w:r>
      <w:r w:rsidRPr="009135CF">
        <w:rPr>
          <w:rFonts w:eastAsia="Times New Roman" w:cstheme="minorHAnsi"/>
          <w:b/>
          <w:color w:val="003366"/>
          <w:sz w:val="24"/>
          <w:szCs w:val="20"/>
        </w:rPr>
        <w:tab/>
      </w:r>
      <w:r w:rsidRPr="009135CF">
        <w:rPr>
          <w:rFonts w:eastAsia="Times New Roman" w:cstheme="minorHAnsi"/>
          <w:b/>
          <w:color w:val="003366"/>
          <w:sz w:val="24"/>
          <w:szCs w:val="20"/>
        </w:rPr>
        <w:tab/>
      </w:r>
    </w:p>
    <w:p w:rsidR="009135CF" w:rsidRPr="009135CF" w:rsidRDefault="009135CF" w:rsidP="00C53F80">
      <w:pPr>
        <w:keepNext/>
        <w:tabs>
          <w:tab w:val="left" w:pos="90"/>
        </w:tabs>
        <w:spacing w:after="0" w:line="240" w:lineRule="auto"/>
        <w:outlineLvl w:val="3"/>
        <w:rPr>
          <w:rFonts w:eastAsia="Times New Roman" w:cstheme="minorHAnsi"/>
          <w:b/>
          <w:color w:val="003366"/>
          <w:sz w:val="28"/>
          <w:szCs w:val="20"/>
        </w:rPr>
      </w:pPr>
      <w:r w:rsidRPr="009135CF">
        <w:rPr>
          <w:rFonts w:eastAsia="Times New Roman" w:cstheme="minorHAnsi"/>
          <w:b/>
          <w:color w:val="003366"/>
          <w:sz w:val="24"/>
          <w:szCs w:val="20"/>
        </w:rPr>
        <w:t>November 2</w:t>
      </w:r>
      <w:r w:rsidR="00FC71D3">
        <w:rPr>
          <w:rFonts w:eastAsia="Times New Roman" w:cstheme="minorHAnsi"/>
          <w:b/>
          <w:color w:val="003366"/>
          <w:sz w:val="24"/>
          <w:szCs w:val="20"/>
        </w:rPr>
        <w:t>4</w:t>
      </w:r>
      <w:r w:rsidRPr="009135CF">
        <w:rPr>
          <w:rFonts w:eastAsia="Times New Roman" w:cstheme="minorHAnsi"/>
          <w:b/>
          <w:color w:val="003366"/>
          <w:sz w:val="24"/>
          <w:szCs w:val="20"/>
        </w:rPr>
        <w:t>, 2016</w:t>
      </w:r>
    </w:p>
    <w:p w:rsidR="00E41E4F" w:rsidRDefault="00E41E4F" w:rsidP="007F683D">
      <w:pPr>
        <w:spacing w:after="0"/>
      </w:pPr>
    </w:p>
    <w:p w:rsidR="009135CF" w:rsidRDefault="009135CF" w:rsidP="007F683D">
      <w:pPr>
        <w:spacing w:after="0"/>
      </w:pPr>
    </w:p>
    <w:p w:rsidR="003D030A" w:rsidRPr="009135CF" w:rsidRDefault="003D030A" w:rsidP="007F683D">
      <w:pPr>
        <w:spacing w:after="0" w:line="240" w:lineRule="auto"/>
        <w:rPr>
          <w:b/>
          <w:sz w:val="24"/>
        </w:rPr>
      </w:pPr>
      <w:r w:rsidRPr="009135CF">
        <w:rPr>
          <w:b/>
          <w:sz w:val="28"/>
          <w:szCs w:val="26"/>
        </w:rPr>
        <w:t>A 2015 Profile of the Evolving North American Collision Repair Marketplace</w:t>
      </w:r>
    </w:p>
    <w:p w:rsidR="009135CF" w:rsidRDefault="009135CF" w:rsidP="007F683D">
      <w:pPr>
        <w:spacing w:after="0" w:line="240" w:lineRule="auto"/>
        <w:rPr>
          <w:sz w:val="28"/>
          <w:szCs w:val="28"/>
        </w:rPr>
      </w:pPr>
    </w:p>
    <w:p w:rsidR="00793F6C" w:rsidRPr="005C4EF2" w:rsidRDefault="00B8198B" w:rsidP="007F683D">
      <w:pPr>
        <w:spacing w:after="0" w:line="240" w:lineRule="auto"/>
        <w:rPr>
          <w:sz w:val="26"/>
          <w:szCs w:val="26"/>
        </w:rPr>
      </w:pPr>
      <w:r w:rsidRPr="005C4EF2">
        <w:rPr>
          <w:sz w:val="26"/>
          <w:szCs w:val="26"/>
        </w:rPr>
        <w:t>Our 10</w:t>
      </w:r>
      <w:r w:rsidRPr="005C4EF2">
        <w:rPr>
          <w:sz w:val="26"/>
          <w:szCs w:val="26"/>
          <w:vertAlign w:val="superscript"/>
        </w:rPr>
        <w:t>th</w:t>
      </w:r>
      <w:r w:rsidRPr="005C4EF2">
        <w:rPr>
          <w:sz w:val="26"/>
          <w:szCs w:val="26"/>
        </w:rPr>
        <w:t xml:space="preserve"> anniversary annual </w:t>
      </w:r>
      <w:r w:rsidR="00575BA1" w:rsidRPr="005C4EF2">
        <w:rPr>
          <w:sz w:val="26"/>
          <w:szCs w:val="26"/>
        </w:rPr>
        <w:t>research report</w:t>
      </w:r>
      <w:r w:rsidRPr="005C4EF2">
        <w:rPr>
          <w:sz w:val="26"/>
          <w:szCs w:val="26"/>
        </w:rPr>
        <w:t xml:space="preserve">, </w:t>
      </w:r>
      <w:r w:rsidRPr="005C4EF2">
        <w:rPr>
          <w:i/>
          <w:sz w:val="26"/>
          <w:szCs w:val="26"/>
        </w:rPr>
        <w:t>A 2015 Profile of the Evolving North American Collision Repair Marketplace</w:t>
      </w:r>
      <w:r w:rsidRPr="005C4EF2">
        <w:rPr>
          <w:sz w:val="26"/>
          <w:szCs w:val="26"/>
        </w:rPr>
        <w:t xml:space="preserve">, is now available. </w:t>
      </w:r>
      <w:r w:rsidR="00575BA1" w:rsidRPr="005C4EF2">
        <w:rPr>
          <w:sz w:val="26"/>
          <w:szCs w:val="26"/>
        </w:rPr>
        <w:t>Following is an executive overview highlighting our data and findings from the report.</w:t>
      </w:r>
    </w:p>
    <w:p w:rsidR="007F683D" w:rsidRPr="005C4EF2" w:rsidRDefault="007F683D" w:rsidP="007F683D">
      <w:pPr>
        <w:spacing w:after="0" w:line="240" w:lineRule="auto"/>
        <w:rPr>
          <w:sz w:val="26"/>
          <w:szCs w:val="26"/>
          <w:u w:val="single"/>
        </w:rPr>
      </w:pPr>
    </w:p>
    <w:p w:rsidR="00793F6C" w:rsidRPr="005C4EF2" w:rsidRDefault="00B8198B" w:rsidP="007F683D">
      <w:pPr>
        <w:spacing w:after="0" w:line="240" w:lineRule="auto"/>
        <w:rPr>
          <w:sz w:val="26"/>
          <w:szCs w:val="26"/>
        </w:rPr>
      </w:pPr>
      <w:r w:rsidRPr="005C4EF2">
        <w:rPr>
          <w:sz w:val="26"/>
          <w:szCs w:val="26"/>
        </w:rPr>
        <w:t>It has been quit</w:t>
      </w:r>
      <w:r w:rsidR="0077745F" w:rsidRPr="005C4EF2">
        <w:rPr>
          <w:sz w:val="26"/>
          <w:szCs w:val="26"/>
        </w:rPr>
        <w:t>e</w:t>
      </w:r>
      <w:r w:rsidRPr="005C4EF2">
        <w:rPr>
          <w:sz w:val="26"/>
          <w:szCs w:val="26"/>
        </w:rPr>
        <w:t xml:space="preserve"> a ride to watch what has tra</w:t>
      </w:r>
      <w:r w:rsidR="006F5895" w:rsidRPr="005C4EF2">
        <w:rPr>
          <w:sz w:val="26"/>
          <w:szCs w:val="26"/>
        </w:rPr>
        <w:t>n</w:t>
      </w:r>
      <w:r w:rsidRPr="005C4EF2">
        <w:rPr>
          <w:sz w:val="26"/>
          <w:szCs w:val="26"/>
        </w:rPr>
        <w:t>spired</w:t>
      </w:r>
      <w:r w:rsidR="0077745F" w:rsidRPr="005C4EF2">
        <w:rPr>
          <w:sz w:val="26"/>
          <w:szCs w:val="26"/>
        </w:rPr>
        <w:t xml:space="preserve"> during the past decade,</w:t>
      </w:r>
      <w:r w:rsidRPr="005C4EF2">
        <w:rPr>
          <w:sz w:val="26"/>
          <w:szCs w:val="26"/>
        </w:rPr>
        <w:t xml:space="preserve"> not only within the collision repair industry</w:t>
      </w:r>
      <w:r w:rsidR="0077745F" w:rsidRPr="005C4EF2">
        <w:rPr>
          <w:sz w:val="26"/>
          <w:szCs w:val="26"/>
        </w:rPr>
        <w:t>,</w:t>
      </w:r>
      <w:r w:rsidRPr="005C4EF2">
        <w:rPr>
          <w:sz w:val="26"/>
          <w:szCs w:val="26"/>
        </w:rPr>
        <w:t xml:space="preserve"> but throughout the entire auto physical damage ecosystem. </w:t>
      </w:r>
      <w:r w:rsidR="00575BA1" w:rsidRPr="005C4EF2">
        <w:rPr>
          <w:sz w:val="26"/>
          <w:szCs w:val="26"/>
        </w:rPr>
        <w:t>The c</w:t>
      </w:r>
      <w:r w:rsidR="006F5895" w:rsidRPr="005C4EF2">
        <w:rPr>
          <w:sz w:val="26"/>
          <w:szCs w:val="26"/>
        </w:rPr>
        <w:t xml:space="preserve">onsolidation, convergence, and the </w:t>
      </w:r>
      <w:r w:rsidR="0097008E" w:rsidRPr="005C4EF2">
        <w:rPr>
          <w:sz w:val="26"/>
          <w:szCs w:val="26"/>
        </w:rPr>
        <w:t>structural</w:t>
      </w:r>
      <w:r w:rsidR="006F5895" w:rsidRPr="005C4EF2">
        <w:rPr>
          <w:sz w:val="26"/>
          <w:szCs w:val="26"/>
        </w:rPr>
        <w:t xml:space="preserve"> changes we are witnessing within businesses, </w:t>
      </w:r>
      <w:r w:rsidR="000213E9" w:rsidRPr="005C4EF2">
        <w:rPr>
          <w:sz w:val="26"/>
          <w:szCs w:val="26"/>
        </w:rPr>
        <w:t>i</w:t>
      </w:r>
      <w:r w:rsidR="006F5895" w:rsidRPr="005C4EF2">
        <w:rPr>
          <w:sz w:val="26"/>
          <w:szCs w:val="26"/>
        </w:rPr>
        <w:t>ndustry segments and markets</w:t>
      </w:r>
      <w:r w:rsidR="0073249E" w:rsidRPr="005C4EF2">
        <w:rPr>
          <w:sz w:val="26"/>
          <w:szCs w:val="26"/>
        </w:rPr>
        <w:t>,</w:t>
      </w:r>
      <w:r w:rsidR="00A015F2" w:rsidRPr="005C4EF2">
        <w:rPr>
          <w:sz w:val="26"/>
          <w:szCs w:val="26"/>
        </w:rPr>
        <w:t xml:space="preserve"> as we know them</w:t>
      </w:r>
      <w:r w:rsidR="006F5895" w:rsidRPr="005C4EF2">
        <w:rPr>
          <w:sz w:val="26"/>
          <w:szCs w:val="26"/>
        </w:rPr>
        <w:t xml:space="preserve"> today</w:t>
      </w:r>
      <w:r w:rsidR="0073249E" w:rsidRPr="005C4EF2">
        <w:rPr>
          <w:sz w:val="26"/>
          <w:szCs w:val="26"/>
        </w:rPr>
        <w:t>,</w:t>
      </w:r>
      <w:r w:rsidR="00A015F2" w:rsidRPr="005C4EF2">
        <w:rPr>
          <w:sz w:val="26"/>
          <w:szCs w:val="26"/>
        </w:rPr>
        <w:t xml:space="preserve"> </w:t>
      </w:r>
      <w:r w:rsidR="00874E12" w:rsidRPr="005C4EF2">
        <w:rPr>
          <w:sz w:val="26"/>
          <w:szCs w:val="26"/>
        </w:rPr>
        <w:t>are now</w:t>
      </w:r>
      <w:r w:rsidR="006F5895" w:rsidRPr="005C4EF2">
        <w:rPr>
          <w:sz w:val="26"/>
          <w:szCs w:val="26"/>
        </w:rPr>
        <w:t xml:space="preserve"> </w:t>
      </w:r>
      <w:r w:rsidR="00874E12" w:rsidRPr="005C4EF2">
        <w:rPr>
          <w:sz w:val="26"/>
          <w:szCs w:val="26"/>
        </w:rPr>
        <w:t>significant market</w:t>
      </w:r>
      <w:r w:rsidR="006F5895" w:rsidRPr="005C4EF2">
        <w:rPr>
          <w:sz w:val="26"/>
          <w:szCs w:val="26"/>
        </w:rPr>
        <w:t xml:space="preserve"> factors</w:t>
      </w:r>
      <w:r w:rsidR="000213E9" w:rsidRPr="005C4EF2">
        <w:rPr>
          <w:sz w:val="26"/>
          <w:szCs w:val="26"/>
        </w:rPr>
        <w:t xml:space="preserve"> </w:t>
      </w:r>
      <w:r w:rsidR="0073249E" w:rsidRPr="005C4EF2">
        <w:rPr>
          <w:sz w:val="26"/>
          <w:szCs w:val="26"/>
        </w:rPr>
        <w:t xml:space="preserve">to consider </w:t>
      </w:r>
      <w:r w:rsidR="00874E12" w:rsidRPr="005C4EF2">
        <w:rPr>
          <w:sz w:val="26"/>
          <w:szCs w:val="26"/>
        </w:rPr>
        <w:t>as part of</w:t>
      </w:r>
      <w:r w:rsidR="006F5895" w:rsidRPr="005C4EF2">
        <w:rPr>
          <w:sz w:val="26"/>
          <w:szCs w:val="26"/>
        </w:rPr>
        <w:t xml:space="preserve"> our future </w:t>
      </w:r>
      <w:r w:rsidR="00874E12" w:rsidRPr="005C4EF2">
        <w:rPr>
          <w:sz w:val="26"/>
          <w:szCs w:val="26"/>
        </w:rPr>
        <w:t>planning</w:t>
      </w:r>
      <w:r w:rsidR="006F5895" w:rsidRPr="005C4EF2">
        <w:rPr>
          <w:sz w:val="26"/>
          <w:szCs w:val="26"/>
        </w:rPr>
        <w:t xml:space="preserve">. The </w:t>
      </w:r>
      <w:r w:rsidR="000213E9" w:rsidRPr="005C4EF2">
        <w:rPr>
          <w:sz w:val="26"/>
          <w:szCs w:val="26"/>
        </w:rPr>
        <w:t xml:space="preserve">high velocity and breadth </w:t>
      </w:r>
      <w:r w:rsidR="0077745F" w:rsidRPr="005C4EF2">
        <w:rPr>
          <w:sz w:val="26"/>
          <w:szCs w:val="26"/>
        </w:rPr>
        <w:t>and</w:t>
      </w:r>
      <w:r w:rsidR="000213E9" w:rsidRPr="005C4EF2">
        <w:rPr>
          <w:sz w:val="26"/>
          <w:szCs w:val="26"/>
        </w:rPr>
        <w:t xml:space="preserve"> depth </w:t>
      </w:r>
      <w:r w:rsidR="006F5895" w:rsidRPr="005C4EF2">
        <w:rPr>
          <w:sz w:val="26"/>
          <w:szCs w:val="26"/>
        </w:rPr>
        <w:t>of change</w:t>
      </w:r>
      <w:r w:rsidR="00C67DBA" w:rsidRPr="005C4EF2">
        <w:rPr>
          <w:sz w:val="26"/>
          <w:szCs w:val="26"/>
        </w:rPr>
        <w:t>,</w:t>
      </w:r>
      <w:r w:rsidR="006F5895" w:rsidRPr="005C4EF2">
        <w:rPr>
          <w:sz w:val="26"/>
          <w:szCs w:val="26"/>
        </w:rPr>
        <w:t xml:space="preserve"> </w:t>
      </w:r>
      <w:r w:rsidR="000213E9" w:rsidRPr="005C4EF2">
        <w:rPr>
          <w:sz w:val="26"/>
          <w:szCs w:val="26"/>
        </w:rPr>
        <w:t>coupled with the seemingly</w:t>
      </w:r>
      <w:r w:rsidR="006F5895" w:rsidRPr="005C4EF2">
        <w:rPr>
          <w:sz w:val="26"/>
          <w:szCs w:val="26"/>
        </w:rPr>
        <w:t xml:space="preserve"> </w:t>
      </w:r>
      <w:r w:rsidR="0097008E" w:rsidRPr="005C4EF2">
        <w:rPr>
          <w:sz w:val="26"/>
          <w:szCs w:val="26"/>
        </w:rPr>
        <w:t>relentless</w:t>
      </w:r>
      <w:r w:rsidR="006F5895" w:rsidRPr="005C4EF2">
        <w:rPr>
          <w:sz w:val="26"/>
          <w:szCs w:val="26"/>
        </w:rPr>
        <w:t xml:space="preserve"> introduction of </w:t>
      </w:r>
      <w:r w:rsidR="0097008E" w:rsidRPr="005C4EF2">
        <w:rPr>
          <w:sz w:val="26"/>
          <w:szCs w:val="26"/>
        </w:rPr>
        <w:t>innovative</w:t>
      </w:r>
      <w:r w:rsidR="006F5895" w:rsidRPr="005C4EF2">
        <w:rPr>
          <w:sz w:val="26"/>
          <w:szCs w:val="26"/>
        </w:rPr>
        <w:t xml:space="preserve"> and </w:t>
      </w:r>
      <w:r w:rsidR="0097008E" w:rsidRPr="005C4EF2">
        <w:rPr>
          <w:sz w:val="26"/>
          <w:szCs w:val="26"/>
        </w:rPr>
        <w:t>disruptive</w:t>
      </w:r>
      <w:r w:rsidR="006F5895" w:rsidRPr="005C4EF2">
        <w:rPr>
          <w:sz w:val="26"/>
          <w:szCs w:val="26"/>
        </w:rPr>
        <w:t xml:space="preserve"> products, services and business models</w:t>
      </w:r>
      <w:r w:rsidR="0077745F" w:rsidRPr="005C4EF2">
        <w:rPr>
          <w:sz w:val="26"/>
          <w:szCs w:val="26"/>
        </w:rPr>
        <w:t>,</w:t>
      </w:r>
      <w:r w:rsidR="000213E9" w:rsidRPr="005C4EF2">
        <w:rPr>
          <w:sz w:val="26"/>
          <w:szCs w:val="26"/>
        </w:rPr>
        <w:t xml:space="preserve"> has required</w:t>
      </w:r>
      <w:r w:rsidR="006F5895" w:rsidRPr="005C4EF2">
        <w:rPr>
          <w:sz w:val="26"/>
          <w:szCs w:val="26"/>
        </w:rPr>
        <w:t xml:space="preserve"> </w:t>
      </w:r>
      <w:r w:rsidR="000213E9" w:rsidRPr="005C4EF2">
        <w:rPr>
          <w:sz w:val="26"/>
          <w:szCs w:val="26"/>
        </w:rPr>
        <w:t>us to maintain a</w:t>
      </w:r>
      <w:r w:rsidR="0077745F" w:rsidRPr="005C4EF2">
        <w:rPr>
          <w:sz w:val="26"/>
          <w:szCs w:val="26"/>
        </w:rPr>
        <w:t>n</w:t>
      </w:r>
      <w:r w:rsidR="000213E9" w:rsidRPr="005C4EF2">
        <w:rPr>
          <w:sz w:val="26"/>
          <w:szCs w:val="26"/>
        </w:rPr>
        <w:t xml:space="preserve"> </w:t>
      </w:r>
      <w:r w:rsidR="0077745F" w:rsidRPr="005C4EF2">
        <w:rPr>
          <w:sz w:val="26"/>
          <w:szCs w:val="26"/>
        </w:rPr>
        <w:t>intense</w:t>
      </w:r>
      <w:r w:rsidR="006F5895" w:rsidRPr="005C4EF2">
        <w:rPr>
          <w:sz w:val="26"/>
          <w:szCs w:val="26"/>
        </w:rPr>
        <w:t xml:space="preserve"> v</w:t>
      </w:r>
      <w:r w:rsidR="000213E9" w:rsidRPr="005C4EF2">
        <w:rPr>
          <w:sz w:val="26"/>
          <w:szCs w:val="26"/>
        </w:rPr>
        <w:t>igilance</w:t>
      </w:r>
      <w:r w:rsidR="0077745F" w:rsidRPr="005C4EF2">
        <w:rPr>
          <w:sz w:val="26"/>
          <w:szCs w:val="26"/>
        </w:rPr>
        <w:t>,</w:t>
      </w:r>
      <w:r w:rsidR="000213E9" w:rsidRPr="005C4EF2">
        <w:rPr>
          <w:sz w:val="26"/>
          <w:szCs w:val="26"/>
        </w:rPr>
        <w:t xml:space="preserve"> t</w:t>
      </w:r>
      <w:r w:rsidR="006F5895" w:rsidRPr="005C4EF2">
        <w:rPr>
          <w:sz w:val="26"/>
          <w:szCs w:val="26"/>
        </w:rPr>
        <w:t xml:space="preserve">o </w:t>
      </w:r>
      <w:r w:rsidR="00575BA1" w:rsidRPr="005C4EF2">
        <w:rPr>
          <w:sz w:val="26"/>
          <w:szCs w:val="26"/>
        </w:rPr>
        <w:t xml:space="preserve">stay </w:t>
      </w:r>
      <w:r w:rsidR="00A015F2" w:rsidRPr="005C4EF2">
        <w:rPr>
          <w:sz w:val="26"/>
          <w:szCs w:val="26"/>
        </w:rPr>
        <w:t xml:space="preserve">constantly </w:t>
      </w:r>
      <w:r w:rsidR="00575BA1" w:rsidRPr="005C4EF2">
        <w:rPr>
          <w:sz w:val="26"/>
          <w:szCs w:val="26"/>
        </w:rPr>
        <w:t>i</w:t>
      </w:r>
      <w:r w:rsidR="006F5895" w:rsidRPr="005C4EF2">
        <w:rPr>
          <w:sz w:val="26"/>
          <w:szCs w:val="26"/>
        </w:rPr>
        <w:t xml:space="preserve">nformed, </w:t>
      </w:r>
      <w:r w:rsidR="00575BA1" w:rsidRPr="005C4EF2">
        <w:rPr>
          <w:sz w:val="26"/>
          <w:szCs w:val="26"/>
        </w:rPr>
        <w:t xml:space="preserve">and to </w:t>
      </w:r>
      <w:r w:rsidR="006F5895" w:rsidRPr="005C4EF2">
        <w:rPr>
          <w:sz w:val="26"/>
          <w:szCs w:val="26"/>
        </w:rPr>
        <w:t>learn</w:t>
      </w:r>
      <w:r w:rsidR="000213E9" w:rsidRPr="005C4EF2">
        <w:rPr>
          <w:sz w:val="26"/>
          <w:szCs w:val="26"/>
        </w:rPr>
        <w:t xml:space="preserve"> </w:t>
      </w:r>
      <w:r w:rsidR="00C67DBA" w:rsidRPr="005C4EF2">
        <w:rPr>
          <w:sz w:val="26"/>
          <w:szCs w:val="26"/>
        </w:rPr>
        <w:t xml:space="preserve">and </w:t>
      </w:r>
      <w:r w:rsidR="000213E9" w:rsidRPr="005C4EF2">
        <w:rPr>
          <w:sz w:val="26"/>
          <w:szCs w:val="26"/>
        </w:rPr>
        <w:t xml:space="preserve">understand </w:t>
      </w:r>
      <w:r w:rsidR="0073249E" w:rsidRPr="005C4EF2">
        <w:rPr>
          <w:sz w:val="26"/>
          <w:szCs w:val="26"/>
        </w:rPr>
        <w:t>as we consider</w:t>
      </w:r>
      <w:r w:rsidR="000213E9" w:rsidRPr="005C4EF2">
        <w:rPr>
          <w:sz w:val="26"/>
          <w:szCs w:val="26"/>
        </w:rPr>
        <w:t>, ad</w:t>
      </w:r>
      <w:r w:rsidR="0073249E" w:rsidRPr="005C4EF2">
        <w:rPr>
          <w:sz w:val="26"/>
          <w:szCs w:val="26"/>
        </w:rPr>
        <w:t>opt, avoid</w:t>
      </w:r>
      <w:r w:rsidR="0077745F" w:rsidRPr="005C4EF2">
        <w:rPr>
          <w:sz w:val="26"/>
          <w:szCs w:val="26"/>
        </w:rPr>
        <w:t>,</w:t>
      </w:r>
      <w:r w:rsidR="0073249E" w:rsidRPr="005C4EF2">
        <w:rPr>
          <w:sz w:val="26"/>
          <w:szCs w:val="26"/>
        </w:rPr>
        <w:t xml:space="preserve"> or </w:t>
      </w:r>
      <w:r w:rsidR="0097008E" w:rsidRPr="005C4EF2">
        <w:rPr>
          <w:sz w:val="26"/>
          <w:szCs w:val="26"/>
        </w:rPr>
        <w:t>leverage</w:t>
      </w:r>
      <w:r w:rsidR="000213E9" w:rsidRPr="005C4EF2">
        <w:rPr>
          <w:sz w:val="26"/>
          <w:szCs w:val="26"/>
        </w:rPr>
        <w:t xml:space="preserve"> </w:t>
      </w:r>
      <w:r w:rsidR="00911DB7" w:rsidRPr="005C4EF2">
        <w:rPr>
          <w:sz w:val="26"/>
          <w:szCs w:val="26"/>
        </w:rPr>
        <w:t>these</w:t>
      </w:r>
      <w:r w:rsidR="000213E9" w:rsidRPr="005C4EF2">
        <w:rPr>
          <w:sz w:val="26"/>
          <w:szCs w:val="26"/>
        </w:rPr>
        <w:t xml:space="preserve"> transformative or </w:t>
      </w:r>
      <w:r w:rsidR="0073249E" w:rsidRPr="005C4EF2">
        <w:rPr>
          <w:sz w:val="26"/>
          <w:szCs w:val="26"/>
        </w:rPr>
        <w:t xml:space="preserve">disintermediating forces </w:t>
      </w:r>
      <w:r w:rsidR="00575BA1" w:rsidRPr="005C4EF2">
        <w:rPr>
          <w:sz w:val="26"/>
          <w:szCs w:val="26"/>
        </w:rPr>
        <w:t xml:space="preserve">in order </w:t>
      </w:r>
      <w:r w:rsidR="0077745F" w:rsidRPr="005C4EF2">
        <w:rPr>
          <w:sz w:val="26"/>
          <w:szCs w:val="26"/>
        </w:rPr>
        <w:t>to</w:t>
      </w:r>
      <w:r w:rsidR="000213E9" w:rsidRPr="005C4EF2">
        <w:rPr>
          <w:sz w:val="26"/>
          <w:szCs w:val="26"/>
        </w:rPr>
        <w:t xml:space="preserve"> </w:t>
      </w:r>
      <w:r w:rsidR="00575BA1" w:rsidRPr="005C4EF2">
        <w:rPr>
          <w:sz w:val="26"/>
          <w:szCs w:val="26"/>
        </w:rPr>
        <w:t>remain</w:t>
      </w:r>
      <w:r w:rsidR="000213E9" w:rsidRPr="005C4EF2">
        <w:rPr>
          <w:sz w:val="26"/>
          <w:szCs w:val="26"/>
        </w:rPr>
        <w:t xml:space="preserve"> relevant and competitive.</w:t>
      </w:r>
    </w:p>
    <w:p w:rsidR="007F683D" w:rsidRDefault="007F683D" w:rsidP="007F683D">
      <w:pPr>
        <w:spacing w:after="0" w:line="240" w:lineRule="auto"/>
        <w:rPr>
          <w:b/>
          <w:sz w:val="28"/>
          <w:szCs w:val="28"/>
        </w:rPr>
      </w:pPr>
    </w:p>
    <w:p w:rsidR="007F683D" w:rsidRPr="007F683D" w:rsidRDefault="00C8127E" w:rsidP="007F683D">
      <w:pPr>
        <w:spacing w:after="120" w:line="240" w:lineRule="auto"/>
        <w:rPr>
          <w:b/>
          <w:sz w:val="28"/>
          <w:szCs w:val="28"/>
        </w:rPr>
      </w:pPr>
      <w:r w:rsidRPr="00597F2D">
        <w:rPr>
          <w:b/>
          <w:sz w:val="28"/>
          <w:szCs w:val="28"/>
        </w:rPr>
        <w:t xml:space="preserve">U.S. </w:t>
      </w:r>
      <w:r w:rsidR="002F1A14" w:rsidRPr="00597F2D">
        <w:rPr>
          <w:b/>
          <w:sz w:val="28"/>
          <w:szCs w:val="28"/>
        </w:rPr>
        <w:t>Collision Repair Industry</w:t>
      </w:r>
    </w:p>
    <w:p w:rsidR="00575BA1" w:rsidRPr="005C4EF2" w:rsidRDefault="00575BA1" w:rsidP="007F683D">
      <w:pPr>
        <w:spacing w:after="0" w:line="240" w:lineRule="auto"/>
        <w:rPr>
          <w:sz w:val="26"/>
          <w:szCs w:val="26"/>
        </w:rPr>
      </w:pPr>
      <w:r w:rsidRPr="005C4EF2">
        <w:rPr>
          <w:sz w:val="26"/>
          <w:szCs w:val="26"/>
        </w:rPr>
        <w:t>As the basis for our research, we track and analyze</w:t>
      </w:r>
      <w:r w:rsidR="00102BDF" w:rsidRPr="005C4EF2">
        <w:rPr>
          <w:sz w:val="26"/>
          <w:szCs w:val="26"/>
        </w:rPr>
        <w:t xml:space="preserve"> four </w:t>
      </w:r>
      <w:r w:rsidR="008C66CC" w:rsidRPr="005C4EF2">
        <w:rPr>
          <w:sz w:val="26"/>
          <w:szCs w:val="26"/>
        </w:rPr>
        <w:t>U.</w:t>
      </w:r>
      <w:r w:rsidR="0073249E" w:rsidRPr="005C4EF2">
        <w:rPr>
          <w:sz w:val="26"/>
          <w:szCs w:val="26"/>
        </w:rPr>
        <w:t xml:space="preserve">S. </w:t>
      </w:r>
      <w:r w:rsidR="00A72863" w:rsidRPr="005C4EF2">
        <w:rPr>
          <w:sz w:val="26"/>
          <w:szCs w:val="26"/>
        </w:rPr>
        <w:t>segments</w:t>
      </w:r>
      <w:r w:rsidRPr="005C4EF2">
        <w:rPr>
          <w:sz w:val="26"/>
          <w:szCs w:val="26"/>
        </w:rPr>
        <w:t>:</w:t>
      </w:r>
      <w:r w:rsidR="0077745F" w:rsidRPr="005C4EF2">
        <w:rPr>
          <w:sz w:val="26"/>
          <w:szCs w:val="26"/>
        </w:rPr>
        <w:t xml:space="preserve"> </w:t>
      </w:r>
    </w:p>
    <w:p w:rsidR="00C241CD" w:rsidRDefault="00575BA1" w:rsidP="00C241CD">
      <w:pPr>
        <w:pStyle w:val="ListParagraph"/>
        <w:numPr>
          <w:ilvl w:val="0"/>
          <w:numId w:val="1"/>
        </w:numPr>
        <w:spacing w:after="0" w:line="240" w:lineRule="auto"/>
        <w:rPr>
          <w:sz w:val="26"/>
          <w:szCs w:val="26"/>
        </w:rPr>
      </w:pPr>
      <w:r w:rsidRPr="00C241CD">
        <w:rPr>
          <w:sz w:val="26"/>
          <w:szCs w:val="26"/>
        </w:rPr>
        <w:t>F</w:t>
      </w:r>
      <w:r w:rsidR="0077745F" w:rsidRPr="00C241CD">
        <w:rPr>
          <w:sz w:val="26"/>
          <w:szCs w:val="26"/>
        </w:rPr>
        <w:t>our</w:t>
      </w:r>
      <w:r w:rsidRPr="00C241CD">
        <w:rPr>
          <w:sz w:val="26"/>
          <w:szCs w:val="26"/>
        </w:rPr>
        <w:t xml:space="preserve"> top</w:t>
      </w:r>
      <w:r w:rsidR="00102BDF" w:rsidRPr="00C241CD">
        <w:rPr>
          <w:sz w:val="26"/>
          <w:szCs w:val="26"/>
        </w:rPr>
        <w:t xml:space="preserve"> independent consolidators</w:t>
      </w:r>
    </w:p>
    <w:p w:rsidR="00575BA1" w:rsidRPr="00C241CD" w:rsidRDefault="00102BDF" w:rsidP="00C241CD">
      <w:pPr>
        <w:pStyle w:val="ListParagraph"/>
        <w:numPr>
          <w:ilvl w:val="0"/>
          <w:numId w:val="1"/>
        </w:numPr>
        <w:spacing w:after="0" w:line="240" w:lineRule="auto"/>
        <w:rPr>
          <w:sz w:val="26"/>
          <w:szCs w:val="26"/>
        </w:rPr>
      </w:pPr>
      <w:r w:rsidRPr="00C241CD">
        <w:rPr>
          <w:sz w:val="26"/>
          <w:szCs w:val="26"/>
        </w:rPr>
        <w:t>≥$20 million</w:t>
      </w:r>
      <w:r w:rsidR="001A2DFB" w:rsidRPr="00C241CD">
        <w:rPr>
          <w:sz w:val="26"/>
          <w:szCs w:val="26"/>
        </w:rPr>
        <w:t xml:space="preserve"> multiple-location </w:t>
      </w:r>
      <w:r w:rsidR="00C241CD" w:rsidRPr="00C241CD">
        <w:rPr>
          <w:sz w:val="26"/>
          <w:szCs w:val="26"/>
        </w:rPr>
        <w:t xml:space="preserve">independent and dealer </w:t>
      </w:r>
      <w:r w:rsidR="001A2DFB" w:rsidRPr="00C241CD">
        <w:rPr>
          <w:sz w:val="26"/>
          <w:szCs w:val="26"/>
        </w:rPr>
        <w:t>operators</w:t>
      </w:r>
      <w:r w:rsidR="00C241CD" w:rsidRPr="00C241CD">
        <w:rPr>
          <w:sz w:val="26"/>
          <w:szCs w:val="26"/>
        </w:rPr>
        <w:t>, MLOs</w:t>
      </w:r>
    </w:p>
    <w:p w:rsidR="00575BA1" w:rsidRPr="005C4EF2" w:rsidRDefault="00575BA1" w:rsidP="00575BA1">
      <w:pPr>
        <w:pStyle w:val="ListParagraph"/>
        <w:numPr>
          <w:ilvl w:val="0"/>
          <w:numId w:val="1"/>
        </w:numPr>
        <w:spacing w:after="0" w:line="240" w:lineRule="auto"/>
        <w:rPr>
          <w:sz w:val="26"/>
          <w:szCs w:val="26"/>
        </w:rPr>
      </w:pPr>
      <w:r w:rsidRPr="005C4EF2">
        <w:rPr>
          <w:sz w:val="26"/>
          <w:szCs w:val="26"/>
        </w:rPr>
        <w:t>F</w:t>
      </w:r>
      <w:r w:rsidR="0077745F" w:rsidRPr="005C4EF2">
        <w:rPr>
          <w:sz w:val="26"/>
          <w:szCs w:val="26"/>
        </w:rPr>
        <w:t>ranchise and banner groups</w:t>
      </w:r>
    </w:p>
    <w:p w:rsidR="00575BA1" w:rsidRPr="005C4EF2" w:rsidRDefault="00575BA1" w:rsidP="00575BA1">
      <w:pPr>
        <w:pStyle w:val="ListParagraph"/>
        <w:numPr>
          <w:ilvl w:val="0"/>
          <w:numId w:val="1"/>
        </w:numPr>
        <w:spacing w:after="0" w:line="240" w:lineRule="auto"/>
        <w:rPr>
          <w:sz w:val="26"/>
          <w:szCs w:val="26"/>
        </w:rPr>
      </w:pPr>
      <w:r w:rsidRPr="005C4EF2">
        <w:rPr>
          <w:sz w:val="26"/>
          <w:szCs w:val="26"/>
        </w:rPr>
        <w:t>A</w:t>
      </w:r>
      <w:r w:rsidR="0077745F" w:rsidRPr="005C4EF2">
        <w:rPr>
          <w:sz w:val="26"/>
          <w:szCs w:val="26"/>
        </w:rPr>
        <w:t xml:space="preserve">nd </w:t>
      </w:r>
      <w:r w:rsidRPr="005C4EF2">
        <w:rPr>
          <w:sz w:val="26"/>
          <w:szCs w:val="26"/>
        </w:rPr>
        <w:t xml:space="preserve">since 2012, the </w:t>
      </w:r>
      <w:r w:rsidR="0077745F" w:rsidRPr="005C4EF2">
        <w:rPr>
          <w:sz w:val="26"/>
          <w:szCs w:val="26"/>
        </w:rPr>
        <w:t>$10-</w:t>
      </w:r>
      <w:r w:rsidR="002F1A14" w:rsidRPr="005C4EF2">
        <w:rPr>
          <w:sz w:val="26"/>
          <w:szCs w:val="26"/>
        </w:rPr>
        <w:t>$19 million ML</w:t>
      </w:r>
      <w:r w:rsidR="00102BDF" w:rsidRPr="005C4EF2">
        <w:rPr>
          <w:sz w:val="26"/>
          <w:szCs w:val="26"/>
        </w:rPr>
        <w:t xml:space="preserve">Os  </w:t>
      </w:r>
    </w:p>
    <w:p w:rsidR="00575BA1" w:rsidRPr="005C4EF2" w:rsidRDefault="00575BA1" w:rsidP="00575BA1">
      <w:pPr>
        <w:spacing w:after="0" w:line="240" w:lineRule="auto"/>
        <w:rPr>
          <w:sz w:val="26"/>
          <w:szCs w:val="26"/>
        </w:rPr>
      </w:pPr>
    </w:p>
    <w:p w:rsidR="005C4EF2" w:rsidRPr="005C4EF2" w:rsidRDefault="00575BA1" w:rsidP="00575BA1">
      <w:pPr>
        <w:spacing w:after="0" w:line="240" w:lineRule="auto"/>
        <w:rPr>
          <w:sz w:val="26"/>
          <w:szCs w:val="26"/>
        </w:rPr>
      </w:pPr>
      <w:r w:rsidRPr="005C4EF2">
        <w:rPr>
          <w:sz w:val="26"/>
          <w:szCs w:val="26"/>
        </w:rPr>
        <w:t xml:space="preserve">Since 2006, the total </w:t>
      </w:r>
      <w:r w:rsidR="005C4EF2" w:rsidRPr="005C4EF2">
        <w:rPr>
          <w:sz w:val="26"/>
          <w:szCs w:val="26"/>
        </w:rPr>
        <w:t>revenue</w:t>
      </w:r>
      <w:r w:rsidRPr="005C4EF2">
        <w:rPr>
          <w:sz w:val="26"/>
          <w:szCs w:val="26"/>
        </w:rPr>
        <w:t xml:space="preserve"> within these four segments </w:t>
      </w:r>
      <w:r w:rsidR="00102BDF" w:rsidRPr="005C4EF2">
        <w:rPr>
          <w:sz w:val="26"/>
          <w:szCs w:val="26"/>
        </w:rPr>
        <w:t>ha</w:t>
      </w:r>
      <w:r w:rsidRPr="005C4EF2">
        <w:rPr>
          <w:sz w:val="26"/>
          <w:szCs w:val="26"/>
        </w:rPr>
        <w:t>s</w:t>
      </w:r>
      <w:r w:rsidR="00102BDF" w:rsidRPr="005C4EF2">
        <w:rPr>
          <w:sz w:val="26"/>
          <w:szCs w:val="26"/>
        </w:rPr>
        <w:t xml:space="preserve"> grown from $3.8 billion to $10.2 billion in market share</w:t>
      </w:r>
      <w:r w:rsidR="0077745F" w:rsidRPr="005C4EF2">
        <w:rPr>
          <w:sz w:val="26"/>
          <w:szCs w:val="26"/>
        </w:rPr>
        <w:t>,</w:t>
      </w:r>
      <w:r w:rsidR="0073249E" w:rsidRPr="005C4EF2">
        <w:rPr>
          <w:sz w:val="26"/>
          <w:szCs w:val="26"/>
        </w:rPr>
        <w:t xml:space="preserve"> a</w:t>
      </w:r>
      <w:r w:rsidR="005B0551" w:rsidRPr="005C4EF2">
        <w:rPr>
          <w:sz w:val="26"/>
          <w:szCs w:val="26"/>
        </w:rPr>
        <w:t>n 11.6</w:t>
      </w:r>
      <w:r w:rsidR="00102BDF" w:rsidRPr="005C4EF2">
        <w:rPr>
          <w:sz w:val="26"/>
          <w:szCs w:val="26"/>
        </w:rPr>
        <w:t xml:space="preserve"> </w:t>
      </w:r>
      <w:r w:rsidR="0077745F" w:rsidRPr="005C4EF2">
        <w:rPr>
          <w:sz w:val="26"/>
          <w:szCs w:val="26"/>
        </w:rPr>
        <w:t>percent</w:t>
      </w:r>
      <w:r w:rsidR="002A20C9" w:rsidRPr="005C4EF2">
        <w:rPr>
          <w:sz w:val="26"/>
          <w:szCs w:val="26"/>
        </w:rPr>
        <w:t xml:space="preserve"> compounded annual growth rate.</w:t>
      </w:r>
      <w:r w:rsidR="0073249E" w:rsidRPr="005C4EF2">
        <w:rPr>
          <w:sz w:val="26"/>
          <w:szCs w:val="26"/>
        </w:rPr>
        <w:t xml:space="preserve"> </w:t>
      </w:r>
    </w:p>
    <w:p w:rsidR="005C4EF2" w:rsidRPr="005C4EF2" w:rsidRDefault="005C4EF2" w:rsidP="00575BA1">
      <w:pPr>
        <w:spacing w:after="0" w:line="240" w:lineRule="auto"/>
        <w:rPr>
          <w:sz w:val="26"/>
          <w:szCs w:val="26"/>
        </w:rPr>
      </w:pPr>
    </w:p>
    <w:p w:rsidR="007F683D" w:rsidRPr="005C4EF2" w:rsidRDefault="00A72863" w:rsidP="00575BA1">
      <w:pPr>
        <w:spacing w:after="0" w:line="240" w:lineRule="auto"/>
        <w:rPr>
          <w:sz w:val="26"/>
          <w:szCs w:val="26"/>
        </w:rPr>
      </w:pPr>
      <w:r w:rsidRPr="005C4EF2">
        <w:rPr>
          <w:sz w:val="26"/>
          <w:szCs w:val="26"/>
        </w:rPr>
        <w:t>The</w:t>
      </w:r>
      <w:r w:rsidR="00D227E9" w:rsidRPr="005C4EF2">
        <w:rPr>
          <w:sz w:val="26"/>
          <w:szCs w:val="26"/>
        </w:rPr>
        <w:t xml:space="preserve"> top ten ranking of all</w:t>
      </w:r>
      <w:r w:rsidR="002F1A14" w:rsidRPr="005C4EF2">
        <w:rPr>
          <w:sz w:val="26"/>
          <w:szCs w:val="26"/>
        </w:rPr>
        <w:t xml:space="preserve"> ≥$20M segment repairers including</w:t>
      </w:r>
      <w:r w:rsidR="00D227E9" w:rsidRPr="005C4EF2">
        <w:rPr>
          <w:sz w:val="26"/>
          <w:szCs w:val="26"/>
        </w:rPr>
        <w:t xml:space="preserve"> independents, dealers and franchisors can be seen in </w:t>
      </w:r>
      <w:r w:rsidR="00A015F2" w:rsidRPr="005C4EF2">
        <w:rPr>
          <w:sz w:val="26"/>
          <w:szCs w:val="26"/>
        </w:rPr>
        <w:t>the following chart. Under the A</w:t>
      </w:r>
      <w:r w:rsidR="00D227E9" w:rsidRPr="005C4EF2">
        <w:rPr>
          <w:sz w:val="26"/>
          <w:szCs w:val="26"/>
        </w:rPr>
        <w:t>l</w:t>
      </w:r>
      <w:r w:rsidR="00A015F2" w:rsidRPr="005C4EF2">
        <w:rPr>
          <w:sz w:val="26"/>
          <w:szCs w:val="26"/>
        </w:rPr>
        <w:t>l Repairers</w:t>
      </w:r>
      <w:r w:rsidR="00593D76" w:rsidRPr="005C4EF2">
        <w:rPr>
          <w:sz w:val="26"/>
          <w:szCs w:val="26"/>
        </w:rPr>
        <w:t xml:space="preserve"> column</w:t>
      </w:r>
      <w:r w:rsidR="00A015F2" w:rsidRPr="005C4EF2">
        <w:rPr>
          <w:sz w:val="26"/>
          <w:szCs w:val="26"/>
        </w:rPr>
        <w:t>,</w:t>
      </w:r>
      <w:r w:rsidR="008C66CC" w:rsidRPr="005C4EF2">
        <w:rPr>
          <w:sz w:val="26"/>
          <w:szCs w:val="26"/>
        </w:rPr>
        <w:t xml:space="preserve"> we see there are four</w:t>
      </w:r>
      <w:r w:rsidR="00593D76" w:rsidRPr="005C4EF2">
        <w:rPr>
          <w:sz w:val="26"/>
          <w:szCs w:val="26"/>
        </w:rPr>
        <w:t xml:space="preserve"> inde</w:t>
      </w:r>
      <w:r w:rsidR="008C66CC" w:rsidRPr="005C4EF2">
        <w:rPr>
          <w:sz w:val="26"/>
          <w:szCs w:val="26"/>
        </w:rPr>
        <w:t xml:space="preserve">pendent consolidators, three </w:t>
      </w:r>
      <w:r w:rsidR="00D227E9" w:rsidRPr="005C4EF2">
        <w:rPr>
          <w:sz w:val="26"/>
          <w:szCs w:val="26"/>
        </w:rPr>
        <w:t>independent</w:t>
      </w:r>
      <w:r w:rsidR="00D227E9" w:rsidRPr="00575BA1">
        <w:rPr>
          <w:sz w:val="28"/>
          <w:szCs w:val="28"/>
        </w:rPr>
        <w:t xml:space="preserve"> </w:t>
      </w:r>
      <w:r w:rsidR="00D227E9" w:rsidRPr="005C4EF2">
        <w:rPr>
          <w:sz w:val="26"/>
          <w:szCs w:val="26"/>
        </w:rPr>
        <w:t>franchise organization</w:t>
      </w:r>
      <w:r w:rsidR="008C66CC" w:rsidRPr="005C4EF2">
        <w:rPr>
          <w:sz w:val="26"/>
          <w:szCs w:val="26"/>
        </w:rPr>
        <w:t>s and three</w:t>
      </w:r>
      <w:r w:rsidR="00D227E9" w:rsidRPr="005C4EF2">
        <w:rPr>
          <w:sz w:val="26"/>
          <w:szCs w:val="26"/>
        </w:rPr>
        <w:t xml:space="preserve"> dealer groups</w:t>
      </w:r>
      <w:r w:rsidR="00593D76" w:rsidRPr="005C4EF2">
        <w:rPr>
          <w:sz w:val="26"/>
          <w:szCs w:val="26"/>
        </w:rPr>
        <w:t>.</w:t>
      </w:r>
      <w:r w:rsidR="00793F6C" w:rsidRPr="005C4EF2">
        <w:rPr>
          <w:rFonts w:ascii="Cambria" w:hAnsi="Cambria"/>
          <w:sz w:val="26"/>
          <w:szCs w:val="26"/>
        </w:rPr>
        <w:t xml:space="preserve"> </w:t>
      </w:r>
      <w:r w:rsidRPr="005C4EF2">
        <w:rPr>
          <w:sz w:val="26"/>
          <w:szCs w:val="26"/>
        </w:rPr>
        <w:t>Within this</w:t>
      </w:r>
      <w:r w:rsidRPr="005C4EF2">
        <w:rPr>
          <w:rFonts w:ascii="Cambria" w:hAnsi="Cambria"/>
          <w:sz w:val="26"/>
          <w:szCs w:val="26"/>
        </w:rPr>
        <w:t xml:space="preserve"> </w:t>
      </w:r>
      <w:r w:rsidRPr="005C4EF2">
        <w:rPr>
          <w:sz w:val="26"/>
          <w:szCs w:val="26"/>
        </w:rPr>
        <w:t>category</w:t>
      </w:r>
      <w:r w:rsidR="00A015F2" w:rsidRPr="005C4EF2">
        <w:rPr>
          <w:sz w:val="26"/>
          <w:szCs w:val="26"/>
        </w:rPr>
        <w:t>, the four independent consolidato</w:t>
      </w:r>
      <w:r w:rsidR="008C66CC" w:rsidRPr="005C4EF2">
        <w:rPr>
          <w:sz w:val="26"/>
          <w:szCs w:val="26"/>
        </w:rPr>
        <w:t xml:space="preserve">rs represent a significant </w:t>
      </w:r>
      <w:r w:rsidR="00CD1CF4" w:rsidRPr="005C4EF2">
        <w:rPr>
          <w:sz w:val="26"/>
          <w:szCs w:val="26"/>
        </w:rPr>
        <w:t>70</w:t>
      </w:r>
      <w:r w:rsidR="008C66CC" w:rsidRPr="005C4EF2">
        <w:rPr>
          <w:sz w:val="26"/>
          <w:szCs w:val="26"/>
        </w:rPr>
        <w:t xml:space="preserve"> percent</w:t>
      </w:r>
      <w:r w:rsidR="00A015F2" w:rsidRPr="005C4EF2">
        <w:rPr>
          <w:sz w:val="26"/>
          <w:szCs w:val="26"/>
        </w:rPr>
        <w:t xml:space="preserve"> of the revenue processed in 2015.</w:t>
      </w:r>
      <w:r w:rsidR="004830B0" w:rsidRPr="005C4EF2">
        <w:rPr>
          <w:sz w:val="26"/>
          <w:szCs w:val="26"/>
        </w:rPr>
        <w:t xml:space="preserve"> </w:t>
      </w:r>
    </w:p>
    <w:p w:rsidR="00575BA1" w:rsidRDefault="00575BA1" w:rsidP="00575BA1">
      <w:pPr>
        <w:spacing w:after="0" w:line="240" w:lineRule="auto"/>
        <w:rPr>
          <w:sz w:val="28"/>
          <w:szCs w:val="28"/>
        </w:rPr>
      </w:pPr>
    </w:p>
    <w:p w:rsidR="00793F6C" w:rsidRPr="005C4EF2" w:rsidRDefault="004830B0" w:rsidP="007F683D">
      <w:pPr>
        <w:spacing w:after="0" w:line="240" w:lineRule="auto"/>
        <w:rPr>
          <w:sz w:val="26"/>
          <w:szCs w:val="26"/>
        </w:rPr>
      </w:pPr>
      <w:r w:rsidRPr="005C4EF2">
        <w:rPr>
          <w:sz w:val="26"/>
          <w:szCs w:val="26"/>
        </w:rPr>
        <w:lastRenderedPageBreak/>
        <w:t xml:space="preserve">The </w:t>
      </w:r>
      <w:r w:rsidR="001A2DFB" w:rsidRPr="005C4EF2">
        <w:rPr>
          <w:sz w:val="26"/>
          <w:szCs w:val="26"/>
        </w:rPr>
        <w:t>four</w:t>
      </w:r>
      <w:r w:rsidRPr="005C4EF2">
        <w:rPr>
          <w:sz w:val="26"/>
          <w:szCs w:val="26"/>
        </w:rPr>
        <w:t xml:space="preserve"> consolidators by themselves represent 11</w:t>
      </w:r>
      <w:r w:rsidR="00CD1CF4" w:rsidRPr="005C4EF2">
        <w:rPr>
          <w:sz w:val="26"/>
          <w:szCs w:val="26"/>
        </w:rPr>
        <w:t>.3</w:t>
      </w:r>
      <w:r w:rsidR="00793F6C" w:rsidRPr="005C4EF2">
        <w:rPr>
          <w:sz w:val="26"/>
          <w:szCs w:val="26"/>
        </w:rPr>
        <w:t xml:space="preserve"> percent</w:t>
      </w:r>
      <w:r w:rsidRPr="005C4EF2">
        <w:rPr>
          <w:sz w:val="26"/>
          <w:szCs w:val="26"/>
        </w:rPr>
        <w:t xml:space="preserve"> of the</w:t>
      </w:r>
      <w:r w:rsidR="00793F6C" w:rsidRPr="005C4EF2">
        <w:rPr>
          <w:sz w:val="26"/>
          <w:szCs w:val="26"/>
        </w:rPr>
        <w:t xml:space="preserve"> total industry size for 2015. </w:t>
      </w:r>
      <w:r w:rsidRPr="005C4EF2">
        <w:rPr>
          <w:sz w:val="26"/>
          <w:szCs w:val="26"/>
        </w:rPr>
        <w:t xml:space="preserve">We estimate that </w:t>
      </w:r>
      <w:r w:rsidR="007C6C27" w:rsidRPr="005C4EF2">
        <w:rPr>
          <w:sz w:val="26"/>
          <w:szCs w:val="26"/>
        </w:rPr>
        <w:t xml:space="preserve">by 2020, </w:t>
      </w:r>
      <w:r w:rsidRPr="005C4EF2">
        <w:rPr>
          <w:sz w:val="26"/>
          <w:szCs w:val="26"/>
        </w:rPr>
        <w:t xml:space="preserve">they could </w:t>
      </w:r>
      <w:r w:rsidR="007C6C27" w:rsidRPr="005C4EF2">
        <w:rPr>
          <w:sz w:val="26"/>
          <w:szCs w:val="26"/>
        </w:rPr>
        <w:t xml:space="preserve">almost double their market share and </w:t>
      </w:r>
      <w:r w:rsidR="00793F6C" w:rsidRPr="005C4EF2">
        <w:rPr>
          <w:sz w:val="26"/>
          <w:szCs w:val="26"/>
        </w:rPr>
        <w:t>represent</w:t>
      </w:r>
      <w:r w:rsidR="00874E12" w:rsidRPr="005C4EF2">
        <w:rPr>
          <w:sz w:val="26"/>
          <w:szCs w:val="26"/>
        </w:rPr>
        <w:t xml:space="preserve"> just over 20 per</w:t>
      </w:r>
      <w:r w:rsidR="007C6C27" w:rsidRPr="005C4EF2">
        <w:rPr>
          <w:sz w:val="26"/>
          <w:szCs w:val="26"/>
        </w:rPr>
        <w:t xml:space="preserve">cent of industry market size. When combined, the four segments we track and </w:t>
      </w:r>
      <w:r w:rsidR="001841E3" w:rsidRPr="005C4EF2">
        <w:rPr>
          <w:sz w:val="26"/>
          <w:szCs w:val="26"/>
        </w:rPr>
        <w:t>analyze</w:t>
      </w:r>
      <w:r w:rsidR="007C6C27" w:rsidRPr="005C4EF2">
        <w:rPr>
          <w:sz w:val="26"/>
          <w:szCs w:val="26"/>
        </w:rPr>
        <w:t xml:space="preserve"> c</w:t>
      </w:r>
      <w:r w:rsidR="001841E3" w:rsidRPr="005C4EF2">
        <w:rPr>
          <w:sz w:val="26"/>
          <w:szCs w:val="26"/>
        </w:rPr>
        <w:t>ould represent almost</w:t>
      </w:r>
      <w:r w:rsidR="007C6C27" w:rsidRPr="005C4EF2">
        <w:rPr>
          <w:sz w:val="26"/>
          <w:szCs w:val="26"/>
        </w:rPr>
        <w:t xml:space="preserve"> 45 percent of the collision repair industry</w:t>
      </w:r>
      <w:r w:rsidR="001841E3" w:rsidRPr="005C4EF2">
        <w:rPr>
          <w:sz w:val="26"/>
          <w:szCs w:val="26"/>
        </w:rPr>
        <w:t xml:space="preserve"> by 2020</w:t>
      </w:r>
      <w:r w:rsidR="00793F6C" w:rsidRPr="005C4EF2">
        <w:rPr>
          <w:sz w:val="26"/>
          <w:szCs w:val="26"/>
        </w:rPr>
        <w:t xml:space="preserve">. </w:t>
      </w:r>
      <w:r w:rsidR="0091611F" w:rsidRPr="005C4EF2">
        <w:rPr>
          <w:sz w:val="26"/>
          <w:szCs w:val="26"/>
        </w:rPr>
        <w:t xml:space="preserve">The following </w:t>
      </w:r>
      <w:r w:rsidR="0097008E" w:rsidRPr="005C4EF2">
        <w:rPr>
          <w:sz w:val="26"/>
          <w:szCs w:val="26"/>
        </w:rPr>
        <w:t>chart reflects</w:t>
      </w:r>
      <w:r w:rsidR="0091611F" w:rsidRPr="005C4EF2">
        <w:rPr>
          <w:sz w:val="26"/>
          <w:szCs w:val="26"/>
        </w:rPr>
        <w:t xml:space="preserve"> the</w:t>
      </w:r>
      <w:r w:rsidR="001841E3" w:rsidRPr="005C4EF2">
        <w:rPr>
          <w:sz w:val="26"/>
          <w:szCs w:val="26"/>
        </w:rPr>
        <w:t xml:space="preserve"> ranking of the </w:t>
      </w:r>
      <w:r w:rsidR="00793F6C" w:rsidRPr="005C4EF2">
        <w:rPr>
          <w:sz w:val="26"/>
          <w:szCs w:val="26"/>
        </w:rPr>
        <w:t>Top 10</w:t>
      </w:r>
      <w:r w:rsidR="001841E3" w:rsidRPr="005C4EF2">
        <w:rPr>
          <w:sz w:val="26"/>
          <w:szCs w:val="26"/>
        </w:rPr>
        <w:t xml:space="preserve"> multiple</w:t>
      </w:r>
      <w:r w:rsidR="001A2DFB" w:rsidRPr="005C4EF2">
        <w:rPr>
          <w:sz w:val="26"/>
          <w:szCs w:val="26"/>
        </w:rPr>
        <w:t>-</w:t>
      </w:r>
      <w:r w:rsidR="001841E3" w:rsidRPr="005C4EF2">
        <w:rPr>
          <w:sz w:val="26"/>
          <w:szCs w:val="26"/>
        </w:rPr>
        <w:t>location operators</w:t>
      </w:r>
      <w:r w:rsidR="001A2DFB" w:rsidRPr="005C4EF2">
        <w:rPr>
          <w:sz w:val="26"/>
          <w:szCs w:val="26"/>
        </w:rPr>
        <w:t xml:space="preserve"> and networks</w:t>
      </w:r>
      <w:r w:rsidR="001841E3" w:rsidRPr="005C4EF2">
        <w:rPr>
          <w:sz w:val="26"/>
          <w:szCs w:val="26"/>
        </w:rPr>
        <w:t xml:space="preserve"> for 2015.  </w:t>
      </w:r>
    </w:p>
    <w:p w:rsidR="004830B0" w:rsidRPr="00597F2D" w:rsidRDefault="001841E3" w:rsidP="007F683D">
      <w:pPr>
        <w:spacing w:after="0" w:line="240" w:lineRule="auto"/>
        <w:rPr>
          <w:sz w:val="28"/>
          <w:szCs w:val="28"/>
        </w:rPr>
      </w:pPr>
      <w:r w:rsidRPr="00597F2D">
        <w:rPr>
          <w:sz w:val="28"/>
          <w:szCs w:val="28"/>
        </w:rPr>
        <w:t xml:space="preserve"> </w:t>
      </w:r>
    </w:p>
    <w:tbl>
      <w:tblPr>
        <w:tblpPr w:leftFromText="180" w:rightFromText="180" w:vertAnchor="text" w:horzAnchor="margin" w:tblpXSpec="center" w:tblpY="48"/>
        <w:tblW w:w="9270" w:type="dxa"/>
        <w:tblCellMar>
          <w:left w:w="0" w:type="dxa"/>
          <w:right w:w="0" w:type="dxa"/>
        </w:tblCellMar>
        <w:tblLook w:val="04A0" w:firstRow="1" w:lastRow="0" w:firstColumn="1" w:lastColumn="0" w:noHBand="0" w:noVBand="1"/>
      </w:tblPr>
      <w:tblGrid>
        <w:gridCol w:w="3456"/>
        <w:gridCol w:w="2970"/>
        <w:gridCol w:w="2844"/>
      </w:tblGrid>
      <w:tr w:rsidR="001A2DFB" w:rsidRPr="001A2DFB" w:rsidTr="001A2DFB">
        <w:trPr>
          <w:trHeight w:val="144"/>
        </w:trPr>
        <w:tc>
          <w:tcPr>
            <w:tcW w:w="9270" w:type="dxa"/>
            <w:gridSpan w:val="3"/>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A2DFB" w:rsidRPr="001A2DFB" w:rsidRDefault="001A2DFB" w:rsidP="007F683D">
            <w:pPr>
              <w:spacing w:after="0" w:line="240" w:lineRule="auto"/>
              <w:jc w:val="center"/>
              <w:rPr>
                <w:rFonts w:ascii="Calibri" w:eastAsia="Times New Roman" w:hAnsi="Calibri" w:cs="Lucida Sans Unicode"/>
                <w:b/>
                <w:bCs/>
                <w:color w:val="FFFFFF"/>
                <w:kern w:val="24"/>
                <w:sz w:val="24"/>
                <w:szCs w:val="24"/>
              </w:rPr>
            </w:pPr>
            <w:r w:rsidRPr="001A2DFB">
              <w:rPr>
                <w:rFonts w:ascii="Calibri" w:eastAsia="Times New Roman" w:hAnsi="Calibri" w:cs="Lucida Sans Unicode"/>
                <w:b/>
                <w:bCs/>
                <w:color w:val="FFFFFF"/>
                <w:kern w:val="24"/>
                <w:sz w:val="28"/>
                <w:szCs w:val="24"/>
              </w:rPr>
              <w:t>U.S. Top 10 MLO/MLN Repairers - 2015</w:t>
            </w:r>
          </w:p>
        </w:tc>
      </w:tr>
      <w:tr w:rsidR="001A2DFB" w:rsidRPr="001A2DFB" w:rsidTr="001A2DFB">
        <w:trPr>
          <w:trHeight w:val="144"/>
        </w:trPr>
        <w:tc>
          <w:tcPr>
            <w:tcW w:w="345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A2DFB" w:rsidRPr="001A2DFB" w:rsidRDefault="001A2DFB" w:rsidP="007F683D">
            <w:pPr>
              <w:spacing w:after="0" w:line="240" w:lineRule="auto"/>
              <w:jc w:val="center"/>
              <w:rPr>
                <w:rFonts w:ascii="Calibri" w:eastAsia="Times New Roman" w:hAnsi="Calibri" w:cs="Arial"/>
                <w:sz w:val="24"/>
                <w:szCs w:val="24"/>
              </w:rPr>
            </w:pPr>
            <w:r w:rsidRPr="001A2DFB">
              <w:rPr>
                <w:rFonts w:ascii="Calibri" w:eastAsia="Times New Roman" w:hAnsi="Calibri" w:cs="Lucida Sans Unicode"/>
                <w:b/>
                <w:bCs/>
                <w:color w:val="FFFFFF"/>
                <w:kern w:val="24"/>
                <w:sz w:val="24"/>
                <w:szCs w:val="24"/>
              </w:rPr>
              <w:t>All Repairers</w:t>
            </w:r>
          </w:p>
        </w:tc>
        <w:tc>
          <w:tcPr>
            <w:tcW w:w="297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A2DFB" w:rsidRPr="001A2DFB" w:rsidRDefault="001A2DFB" w:rsidP="007F683D">
            <w:pPr>
              <w:spacing w:after="0" w:line="240" w:lineRule="auto"/>
              <w:jc w:val="center"/>
              <w:rPr>
                <w:rFonts w:ascii="Calibri" w:eastAsia="Times New Roman" w:hAnsi="Calibri" w:cs="Arial"/>
                <w:sz w:val="24"/>
                <w:szCs w:val="24"/>
              </w:rPr>
            </w:pPr>
            <w:r w:rsidRPr="001A2DFB">
              <w:rPr>
                <w:rFonts w:ascii="Calibri" w:eastAsia="Times New Roman" w:hAnsi="Calibri" w:cs="Lucida Sans Unicode"/>
                <w:b/>
                <w:bCs/>
                <w:color w:val="FFFFFF"/>
                <w:kern w:val="24"/>
                <w:sz w:val="24"/>
                <w:szCs w:val="24"/>
              </w:rPr>
              <w:t>Independents</w:t>
            </w:r>
          </w:p>
        </w:tc>
        <w:tc>
          <w:tcPr>
            <w:tcW w:w="284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A2DFB" w:rsidRPr="001A2DFB" w:rsidRDefault="001A2DFB" w:rsidP="007F683D">
            <w:pPr>
              <w:spacing w:after="0" w:line="240" w:lineRule="auto"/>
              <w:jc w:val="center"/>
              <w:rPr>
                <w:rFonts w:ascii="Calibri" w:eastAsia="Times New Roman" w:hAnsi="Calibri" w:cs="Arial"/>
                <w:sz w:val="24"/>
                <w:szCs w:val="24"/>
              </w:rPr>
            </w:pPr>
            <w:r w:rsidRPr="001A2DFB">
              <w:rPr>
                <w:rFonts w:ascii="Calibri" w:eastAsia="Times New Roman" w:hAnsi="Calibri" w:cs="Lucida Sans Unicode"/>
                <w:b/>
                <w:bCs/>
                <w:color w:val="FFFFFF"/>
                <w:kern w:val="24"/>
                <w:sz w:val="24"/>
                <w:szCs w:val="24"/>
              </w:rPr>
              <w:t>Dealers</w:t>
            </w:r>
          </w:p>
        </w:tc>
      </w:tr>
      <w:tr w:rsidR="001A2DFB" w:rsidRPr="001A2DFB" w:rsidTr="001A2DFB">
        <w:trPr>
          <w:trHeight w:val="144"/>
        </w:trPr>
        <w:tc>
          <w:tcPr>
            <w:tcW w:w="3456" w:type="dxa"/>
            <w:tcBorders>
              <w:top w:val="single" w:sz="24" w:space="0" w:color="FFFFFF"/>
              <w:left w:val="single" w:sz="8" w:space="0" w:color="FFFFFF"/>
              <w:bottom w:val="single" w:sz="8" w:space="0" w:color="FFFFFF"/>
              <w:right w:val="single" w:sz="8" w:space="0" w:color="FFFFFF"/>
            </w:tcBorders>
            <w:shd w:val="clear" w:color="auto" w:fill="B8CCE4"/>
            <w:tcMar>
              <w:top w:w="72" w:type="dxa"/>
              <w:left w:w="144" w:type="dxa"/>
              <w:bottom w:w="72" w:type="dxa"/>
              <w:right w:w="144" w:type="dxa"/>
            </w:tcMar>
            <w:hideMark/>
          </w:tcPr>
          <w:p w:rsidR="001A2DFB" w:rsidRPr="001A2DFB" w:rsidRDefault="001A2DFB" w:rsidP="007F683D">
            <w:pPr>
              <w:spacing w:after="0" w:line="240" w:lineRule="auto"/>
              <w:rPr>
                <w:rFonts w:ascii="Calibri" w:eastAsia="Times New Roman" w:hAnsi="Calibri" w:cs="Arial"/>
                <w:szCs w:val="24"/>
              </w:rPr>
            </w:pPr>
            <w:r w:rsidRPr="001A2DFB">
              <w:rPr>
                <w:rFonts w:ascii="Calibri" w:eastAsia="Times New Roman" w:hAnsi="Calibri" w:cs="Lucida Sans Unicode"/>
                <w:b/>
                <w:bCs/>
                <w:color w:val="003366"/>
                <w:kern w:val="24"/>
                <w:szCs w:val="24"/>
              </w:rPr>
              <w:t>Caliber</w:t>
            </w:r>
          </w:p>
        </w:tc>
        <w:tc>
          <w:tcPr>
            <w:tcW w:w="2970" w:type="dxa"/>
            <w:tcBorders>
              <w:top w:val="single" w:sz="24" w:space="0" w:color="FFFFFF"/>
              <w:left w:val="single" w:sz="8" w:space="0" w:color="FFFFFF"/>
              <w:bottom w:val="single" w:sz="8" w:space="0" w:color="FFFFFF"/>
              <w:right w:val="single" w:sz="8" w:space="0" w:color="FFFFFF"/>
            </w:tcBorders>
            <w:shd w:val="clear" w:color="auto" w:fill="B8CCE4"/>
            <w:tcMar>
              <w:top w:w="72" w:type="dxa"/>
              <w:left w:w="144" w:type="dxa"/>
              <w:bottom w:w="72" w:type="dxa"/>
              <w:right w:w="144" w:type="dxa"/>
            </w:tcMar>
            <w:hideMark/>
          </w:tcPr>
          <w:p w:rsidR="001A2DFB" w:rsidRPr="001A2DFB" w:rsidRDefault="001A2DFB" w:rsidP="007F683D">
            <w:pPr>
              <w:spacing w:after="0" w:line="240" w:lineRule="auto"/>
              <w:rPr>
                <w:rFonts w:ascii="Calibri" w:eastAsia="Times New Roman" w:hAnsi="Calibri" w:cs="Arial"/>
                <w:szCs w:val="24"/>
              </w:rPr>
            </w:pPr>
            <w:r w:rsidRPr="001A2DFB">
              <w:rPr>
                <w:rFonts w:ascii="Calibri" w:eastAsia="Times New Roman" w:hAnsi="Calibri" w:cs="Lucida Sans Unicode"/>
                <w:b/>
                <w:bCs/>
                <w:color w:val="003366"/>
                <w:kern w:val="24"/>
                <w:szCs w:val="24"/>
              </w:rPr>
              <w:t>Caliber</w:t>
            </w:r>
          </w:p>
        </w:tc>
        <w:tc>
          <w:tcPr>
            <w:tcW w:w="2844" w:type="dxa"/>
            <w:tcBorders>
              <w:top w:val="single" w:sz="24" w:space="0" w:color="FFFFFF"/>
              <w:left w:val="single" w:sz="8" w:space="0" w:color="FFFFFF"/>
              <w:bottom w:val="single" w:sz="8" w:space="0" w:color="FFFFFF"/>
              <w:right w:val="single" w:sz="8" w:space="0" w:color="FFFFFF"/>
            </w:tcBorders>
            <w:shd w:val="clear" w:color="auto" w:fill="B8CCE4"/>
            <w:tcMar>
              <w:top w:w="72" w:type="dxa"/>
              <w:left w:w="144" w:type="dxa"/>
              <w:bottom w:w="72" w:type="dxa"/>
              <w:right w:w="144" w:type="dxa"/>
            </w:tcMar>
            <w:hideMark/>
          </w:tcPr>
          <w:p w:rsidR="001A2DFB" w:rsidRPr="001A2DFB" w:rsidRDefault="001A2DFB" w:rsidP="007F683D">
            <w:pPr>
              <w:spacing w:after="0" w:line="240" w:lineRule="auto"/>
              <w:rPr>
                <w:rFonts w:ascii="Calibri" w:eastAsia="Times New Roman" w:hAnsi="Calibri" w:cs="Arial"/>
                <w:szCs w:val="24"/>
              </w:rPr>
            </w:pPr>
            <w:r w:rsidRPr="001A2DFB">
              <w:rPr>
                <w:rFonts w:ascii="Calibri" w:eastAsia="Times New Roman" w:hAnsi="Calibri" w:cs="Lucida Sans Unicode"/>
                <w:b/>
                <w:bCs/>
                <w:color w:val="A3171E"/>
                <w:kern w:val="24"/>
                <w:szCs w:val="24"/>
              </w:rPr>
              <w:t xml:space="preserve">Auto Nation </w:t>
            </w:r>
          </w:p>
        </w:tc>
      </w:tr>
      <w:tr w:rsidR="001A2DFB" w:rsidRPr="001A2DFB" w:rsidTr="001A2DFB">
        <w:trPr>
          <w:trHeight w:val="144"/>
        </w:trPr>
        <w:tc>
          <w:tcPr>
            <w:tcW w:w="3456" w:type="dxa"/>
            <w:tcBorders>
              <w:top w:val="single" w:sz="8" w:space="0" w:color="FFFFFF"/>
              <w:left w:val="single" w:sz="8" w:space="0" w:color="FFFFFF"/>
              <w:bottom w:val="single" w:sz="8" w:space="0" w:color="FFFFFF"/>
              <w:right w:val="single" w:sz="8" w:space="0" w:color="FFFFFF"/>
            </w:tcBorders>
            <w:shd w:val="clear" w:color="auto" w:fill="DBE5F1"/>
            <w:tcMar>
              <w:top w:w="72" w:type="dxa"/>
              <w:left w:w="144" w:type="dxa"/>
              <w:bottom w:w="72" w:type="dxa"/>
              <w:right w:w="144" w:type="dxa"/>
            </w:tcMar>
            <w:hideMark/>
          </w:tcPr>
          <w:p w:rsidR="001A2DFB" w:rsidRPr="001A2DFB" w:rsidRDefault="001A2DFB" w:rsidP="007F683D">
            <w:pPr>
              <w:spacing w:after="0" w:line="240" w:lineRule="auto"/>
              <w:rPr>
                <w:rFonts w:ascii="Calibri" w:eastAsia="Times New Roman" w:hAnsi="Calibri" w:cs="Arial"/>
                <w:szCs w:val="24"/>
              </w:rPr>
            </w:pPr>
            <w:r w:rsidRPr="001A2DFB">
              <w:rPr>
                <w:rFonts w:ascii="Calibri" w:eastAsia="Times New Roman" w:hAnsi="Calibri" w:cs="Lucida Sans Unicode"/>
                <w:b/>
                <w:bCs/>
                <w:color w:val="003366"/>
                <w:kern w:val="24"/>
                <w:szCs w:val="24"/>
              </w:rPr>
              <w:t>Service King</w:t>
            </w:r>
          </w:p>
        </w:tc>
        <w:tc>
          <w:tcPr>
            <w:tcW w:w="2970" w:type="dxa"/>
            <w:tcBorders>
              <w:top w:val="single" w:sz="8" w:space="0" w:color="FFFFFF"/>
              <w:left w:val="single" w:sz="8" w:space="0" w:color="FFFFFF"/>
              <w:bottom w:val="single" w:sz="8" w:space="0" w:color="FFFFFF"/>
              <w:right w:val="single" w:sz="8" w:space="0" w:color="FFFFFF"/>
            </w:tcBorders>
            <w:shd w:val="clear" w:color="auto" w:fill="DBE5F1"/>
            <w:tcMar>
              <w:top w:w="72" w:type="dxa"/>
              <w:left w:w="144" w:type="dxa"/>
              <w:bottom w:w="72" w:type="dxa"/>
              <w:right w:w="144" w:type="dxa"/>
            </w:tcMar>
            <w:hideMark/>
          </w:tcPr>
          <w:p w:rsidR="001A2DFB" w:rsidRPr="001A2DFB" w:rsidRDefault="001A2DFB" w:rsidP="007F683D">
            <w:pPr>
              <w:spacing w:after="0" w:line="240" w:lineRule="auto"/>
              <w:rPr>
                <w:rFonts w:ascii="Calibri" w:eastAsia="Times New Roman" w:hAnsi="Calibri" w:cs="Arial"/>
                <w:szCs w:val="24"/>
              </w:rPr>
            </w:pPr>
            <w:r w:rsidRPr="001A2DFB">
              <w:rPr>
                <w:rFonts w:ascii="Calibri" w:eastAsia="Times New Roman" w:hAnsi="Calibri" w:cs="Lucida Sans Unicode"/>
                <w:b/>
                <w:bCs/>
                <w:color w:val="003366"/>
                <w:kern w:val="24"/>
                <w:szCs w:val="24"/>
              </w:rPr>
              <w:t>Service King</w:t>
            </w:r>
          </w:p>
        </w:tc>
        <w:tc>
          <w:tcPr>
            <w:tcW w:w="2844" w:type="dxa"/>
            <w:tcBorders>
              <w:top w:val="single" w:sz="8" w:space="0" w:color="FFFFFF"/>
              <w:left w:val="single" w:sz="8" w:space="0" w:color="FFFFFF"/>
              <w:bottom w:val="single" w:sz="8" w:space="0" w:color="FFFFFF"/>
              <w:right w:val="single" w:sz="8" w:space="0" w:color="FFFFFF"/>
            </w:tcBorders>
            <w:shd w:val="clear" w:color="auto" w:fill="DBE5F1"/>
            <w:tcMar>
              <w:top w:w="72" w:type="dxa"/>
              <w:left w:w="144" w:type="dxa"/>
              <w:bottom w:w="72" w:type="dxa"/>
              <w:right w:w="144" w:type="dxa"/>
            </w:tcMar>
            <w:hideMark/>
          </w:tcPr>
          <w:p w:rsidR="001A2DFB" w:rsidRPr="001A2DFB" w:rsidRDefault="001A2DFB" w:rsidP="007F683D">
            <w:pPr>
              <w:spacing w:after="0" w:line="240" w:lineRule="auto"/>
              <w:rPr>
                <w:rFonts w:ascii="Calibri" w:eastAsia="Times New Roman" w:hAnsi="Calibri" w:cs="Arial"/>
                <w:szCs w:val="24"/>
              </w:rPr>
            </w:pPr>
            <w:r w:rsidRPr="001A2DFB">
              <w:rPr>
                <w:rFonts w:ascii="Calibri" w:eastAsia="Times New Roman" w:hAnsi="Calibri" w:cs="Lucida Sans Unicode"/>
                <w:b/>
                <w:bCs/>
                <w:color w:val="A3171E"/>
                <w:kern w:val="24"/>
                <w:szCs w:val="24"/>
              </w:rPr>
              <w:t xml:space="preserve">Hendricks </w:t>
            </w:r>
          </w:p>
        </w:tc>
      </w:tr>
      <w:tr w:rsidR="001A2DFB" w:rsidRPr="001A2DFB" w:rsidTr="001A2DFB">
        <w:trPr>
          <w:trHeight w:val="144"/>
        </w:trPr>
        <w:tc>
          <w:tcPr>
            <w:tcW w:w="3456" w:type="dxa"/>
            <w:tcBorders>
              <w:top w:val="single" w:sz="8" w:space="0" w:color="FFFFFF"/>
              <w:left w:val="single" w:sz="8" w:space="0" w:color="FFFFFF"/>
              <w:bottom w:val="single" w:sz="8" w:space="0" w:color="FFFFFF"/>
              <w:right w:val="single" w:sz="8" w:space="0" w:color="FFFFFF"/>
            </w:tcBorders>
            <w:shd w:val="clear" w:color="auto" w:fill="B8CCE4"/>
            <w:tcMar>
              <w:top w:w="72" w:type="dxa"/>
              <w:left w:w="144" w:type="dxa"/>
              <w:bottom w:w="72" w:type="dxa"/>
              <w:right w:w="144" w:type="dxa"/>
            </w:tcMar>
            <w:hideMark/>
          </w:tcPr>
          <w:p w:rsidR="001A2DFB" w:rsidRPr="001A2DFB" w:rsidRDefault="001A2DFB" w:rsidP="007F683D">
            <w:pPr>
              <w:spacing w:after="0" w:line="240" w:lineRule="auto"/>
              <w:rPr>
                <w:rFonts w:ascii="Calibri" w:eastAsia="Times New Roman" w:hAnsi="Calibri" w:cs="Arial"/>
                <w:szCs w:val="24"/>
              </w:rPr>
            </w:pPr>
            <w:r w:rsidRPr="001A2DFB">
              <w:rPr>
                <w:rFonts w:ascii="Calibri" w:eastAsia="Times New Roman" w:hAnsi="Calibri" w:cs="Lucida Sans Unicode"/>
                <w:b/>
                <w:bCs/>
                <w:color w:val="003366"/>
                <w:kern w:val="24"/>
                <w:szCs w:val="24"/>
              </w:rPr>
              <w:t>ABRA Corporate &amp; Franchise</w:t>
            </w:r>
          </w:p>
        </w:tc>
        <w:tc>
          <w:tcPr>
            <w:tcW w:w="2970" w:type="dxa"/>
            <w:tcBorders>
              <w:top w:val="single" w:sz="8" w:space="0" w:color="FFFFFF"/>
              <w:left w:val="single" w:sz="8" w:space="0" w:color="FFFFFF"/>
              <w:bottom w:val="single" w:sz="8" w:space="0" w:color="FFFFFF"/>
              <w:right w:val="single" w:sz="8" w:space="0" w:color="FFFFFF"/>
            </w:tcBorders>
            <w:shd w:val="clear" w:color="auto" w:fill="B8CCE4"/>
            <w:tcMar>
              <w:top w:w="72" w:type="dxa"/>
              <w:left w:w="144" w:type="dxa"/>
              <w:bottom w:w="72" w:type="dxa"/>
              <w:right w:w="144" w:type="dxa"/>
            </w:tcMar>
            <w:hideMark/>
          </w:tcPr>
          <w:p w:rsidR="001A2DFB" w:rsidRPr="001A2DFB" w:rsidRDefault="001A2DFB" w:rsidP="007F683D">
            <w:pPr>
              <w:spacing w:after="0" w:line="240" w:lineRule="auto"/>
              <w:rPr>
                <w:rFonts w:ascii="Calibri" w:eastAsia="Times New Roman" w:hAnsi="Calibri" w:cs="Arial"/>
                <w:szCs w:val="24"/>
              </w:rPr>
            </w:pPr>
            <w:r w:rsidRPr="001A2DFB">
              <w:rPr>
                <w:rFonts w:ascii="Calibri" w:eastAsia="Times New Roman" w:hAnsi="Calibri" w:cs="Lucida Sans Unicode"/>
                <w:b/>
                <w:bCs/>
                <w:color w:val="003366"/>
                <w:kern w:val="24"/>
                <w:szCs w:val="24"/>
              </w:rPr>
              <w:t>ABRA Corporate &amp; Franchise</w:t>
            </w:r>
          </w:p>
        </w:tc>
        <w:tc>
          <w:tcPr>
            <w:tcW w:w="2844" w:type="dxa"/>
            <w:tcBorders>
              <w:top w:val="single" w:sz="8" w:space="0" w:color="FFFFFF"/>
              <w:left w:val="single" w:sz="8" w:space="0" w:color="FFFFFF"/>
              <w:bottom w:val="single" w:sz="8" w:space="0" w:color="FFFFFF"/>
              <w:right w:val="single" w:sz="8" w:space="0" w:color="FFFFFF"/>
            </w:tcBorders>
            <w:shd w:val="clear" w:color="auto" w:fill="B8CCE4"/>
            <w:tcMar>
              <w:top w:w="72" w:type="dxa"/>
              <w:left w:w="144" w:type="dxa"/>
              <w:bottom w:w="72" w:type="dxa"/>
              <w:right w:w="144" w:type="dxa"/>
            </w:tcMar>
            <w:hideMark/>
          </w:tcPr>
          <w:p w:rsidR="001A2DFB" w:rsidRPr="001A2DFB" w:rsidRDefault="001A2DFB" w:rsidP="007F683D">
            <w:pPr>
              <w:spacing w:after="0" w:line="240" w:lineRule="auto"/>
              <w:rPr>
                <w:rFonts w:ascii="Calibri" w:eastAsia="Times New Roman" w:hAnsi="Calibri" w:cs="Arial"/>
                <w:szCs w:val="24"/>
              </w:rPr>
            </w:pPr>
            <w:r w:rsidRPr="001A2DFB">
              <w:rPr>
                <w:rFonts w:ascii="Calibri" w:eastAsia="Times New Roman" w:hAnsi="Calibri" w:cs="Lucida Sans Unicode"/>
                <w:b/>
                <w:bCs/>
                <w:color w:val="A3171E"/>
                <w:kern w:val="24"/>
                <w:szCs w:val="24"/>
              </w:rPr>
              <w:t>Berkshire-VT</w:t>
            </w:r>
          </w:p>
        </w:tc>
      </w:tr>
      <w:tr w:rsidR="001A2DFB" w:rsidRPr="001A2DFB" w:rsidTr="001A2DFB">
        <w:trPr>
          <w:trHeight w:val="144"/>
        </w:trPr>
        <w:tc>
          <w:tcPr>
            <w:tcW w:w="3456" w:type="dxa"/>
            <w:tcBorders>
              <w:top w:val="single" w:sz="8" w:space="0" w:color="FFFFFF"/>
              <w:left w:val="single" w:sz="8" w:space="0" w:color="FFFFFF"/>
              <w:bottom w:val="single" w:sz="8" w:space="0" w:color="FFFFFF"/>
              <w:right w:val="single" w:sz="8" w:space="0" w:color="FFFFFF"/>
            </w:tcBorders>
            <w:shd w:val="clear" w:color="auto" w:fill="DBE5F1"/>
            <w:tcMar>
              <w:top w:w="72" w:type="dxa"/>
              <w:left w:w="144" w:type="dxa"/>
              <w:bottom w:w="72" w:type="dxa"/>
              <w:right w:w="144" w:type="dxa"/>
            </w:tcMar>
            <w:hideMark/>
          </w:tcPr>
          <w:p w:rsidR="001A2DFB" w:rsidRPr="001A2DFB" w:rsidRDefault="001A2DFB" w:rsidP="007F683D">
            <w:pPr>
              <w:spacing w:after="0" w:line="240" w:lineRule="auto"/>
              <w:rPr>
                <w:rFonts w:ascii="Calibri" w:eastAsia="Times New Roman" w:hAnsi="Calibri" w:cs="Arial"/>
                <w:szCs w:val="24"/>
              </w:rPr>
            </w:pPr>
            <w:r w:rsidRPr="001A2DFB">
              <w:rPr>
                <w:rFonts w:ascii="Calibri" w:eastAsia="Times New Roman" w:hAnsi="Calibri" w:cs="Lucida Sans Unicode"/>
                <w:b/>
                <w:bCs/>
                <w:color w:val="003366"/>
                <w:kern w:val="24"/>
                <w:szCs w:val="24"/>
              </w:rPr>
              <w:t>Boyd/Gerber</w:t>
            </w:r>
          </w:p>
        </w:tc>
        <w:tc>
          <w:tcPr>
            <w:tcW w:w="2970" w:type="dxa"/>
            <w:tcBorders>
              <w:top w:val="single" w:sz="8" w:space="0" w:color="FFFFFF"/>
              <w:left w:val="single" w:sz="8" w:space="0" w:color="FFFFFF"/>
              <w:bottom w:val="single" w:sz="8" w:space="0" w:color="FFFFFF"/>
              <w:right w:val="single" w:sz="8" w:space="0" w:color="FFFFFF"/>
            </w:tcBorders>
            <w:shd w:val="clear" w:color="auto" w:fill="DBE5F1"/>
            <w:tcMar>
              <w:top w:w="72" w:type="dxa"/>
              <w:left w:w="144" w:type="dxa"/>
              <w:bottom w:w="72" w:type="dxa"/>
              <w:right w:w="144" w:type="dxa"/>
            </w:tcMar>
            <w:hideMark/>
          </w:tcPr>
          <w:p w:rsidR="001A2DFB" w:rsidRPr="001A2DFB" w:rsidRDefault="001A2DFB" w:rsidP="007F683D">
            <w:pPr>
              <w:spacing w:after="0" w:line="240" w:lineRule="auto"/>
              <w:rPr>
                <w:rFonts w:ascii="Calibri" w:eastAsia="Times New Roman" w:hAnsi="Calibri" w:cs="Arial"/>
                <w:szCs w:val="24"/>
              </w:rPr>
            </w:pPr>
            <w:r w:rsidRPr="001A2DFB">
              <w:rPr>
                <w:rFonts w:ascii="Calibri" w:eastAsia="Times New Roman" w:hAnsi="Calibri" w:cs="Lucida Sans Unicode"/>
                <w:b/>
                <w:bCs/>
                <w:color w:val="003366"/>
                <w:kern w:val="24"/>
                <w:szCs w:val="24"/>
              </w:rPr>
              <w:t>Boyd/Gerber</w:t>
            </w:r>
          </w:p>
        </w:tc>
        <w:tc>
          <w:tcPr>
            <w:tcW w:w="2844" w:type="dxa"/>
            <w:tcBorders>
              <w:top w:val="single" w:sz="8" w:space="0" w:color="FFFFFF"/>
              <w:left w:val="single" w:sz="8" w:space="0" w:color="FFFFFF"/>
              <w:bottom w:val="single" w:sz="8" w:space="0" w:color="FFFFFF"/>
              <w:right w:val="single" w:sz="8" w:space="0" w:color="FFFFFF"/>
            </w:tcBorders>
            <w:shd w:val="clear" w:color="auto" w:fill="DBE5F1"/>
            <w:tcMar>
              <w:top w:w="72" w:type="dxa"/>
              <w:left w:w="144" w:type="dxa"/>
              <w:bottom w:w="72" w:type="dxa"/>
              <w:right w:w="144" w:type="dxa"/>
            </w:tcMar>
            <w:hideMark/>
          </w:tcPr>
          <w:p w:rsidR="001A2DFB" w:rsidRPr="001A2DFB" w:rsidRDefault="001A2DFB" w:rsidP="007F683D">
            <w:pPr>
              <w:spacing w:after="0" w:line="240" w:lineRule="auto"/>
              <w:rPr>
                <w:rFonts w:ascii="Calibri" w:eastAsia="Times New Roman" w:hAnsi="Calibri" w:cs="Arial"/>
                <w:szCs w:val="24"/>
              </w:rPr>
            </w:pPr>
            <w:r w:rsidRPr="001A2DFB">
              <w:rPr>
                <w:rFonts w:ascii="Calibri" w:eastAsia="Times New Roman" w:hAnsi="Calibri" w:cs="Lucida Sans Unicode"/>
                <w:b/>
                <w:bCs/>
                <w:color w:val="A3171E"/>
                <w:kern w:val="24"/>
                <w:szCs w:val="24"/>
              </w:rPr>
              <w:t>Penske</w:t>
            </w:r>
          </w:p>
        </w:tc>
      </w:tr>
      <w:tr w:rsidR="001A2DFB" w:rsidRPr="001A2DFB" w:rsidTr="001A2DFB">
        <w:trPr>
          <w:trHeight w:val="144"/>
        </w:trPr>
        <w:tc>
          <w:tcPr>
            <w:tcW w:w="3456" w:type="dxa"/>
            <w:tcBorders>
              <w:top w:val="single" w:sz="8" w:space="0" w:color="FFFFFF"/>
              <w:left w:val="single" w:sz="8" w:space="0" w:color="FFFFFF"/>
              <w:bottom w:val="single" w:sz="8" w:space="0" w:color="FFFFFF"/>
              <w:right w:val="single" w:sz="8" w:space="0" w:color="FFFFFF"/>
            </w:tcBorders>
            <w:shd w:val="clear" w:color="auto" w:fill="B8CCE4"/>
            <w:tcMar>
              <w:top w:w="72" w:type="dxa"/>
              <w:left w:w="144" w:type="dxa"/>
              <w:bottom w:w="72" w:type="dxa"/>
              <w:right w:w="144" w:type="dxa"/>
            </w:tcMar>
            <w:hideMark/>
          </w:tcPr>
          <w:p w:rsidR="001A2DFB" w:rsidRPr="001A2DFB" w:rsidRDefault="001A2DFB" w:rsidP="007F683D">
            <w:pPr>
              <w:spacing w:after="0" w:line="240" w:lineRule="auto"/>
              <w:rPr>
                <w:rFonts w:ascii="Times New Roman" w:eastAsia="Calibri" w:hAnsi="Times New Roman" w:cs="Times New Roman"/>
                <w:sz w:val="24"/>
                <w:szCs w:val="24"/>
              </w:rPr>
            </w:pPr>
            <w:r w:rsidRPr="001A2DFB">
              <w:rPr>
                <w:rFonts w:ascii="Calibri" w:eastAsia="Times New Roman" w:hAnsi="Calibri" w:cs="Lucida Sans Unicode"/>
                <w:b/>
                <w:bCs/>
                <w:color w:val="003366"/>
                <w:kern w:val="24"/>
                <w:szCs w:val="24"/>
              </w:rPr>
              <w:t>Maaco</w:t>
            </w:r>
          </w:p>
        </w:tc>
        <w:tc>
          <w:tcPr>
            <w:tcW w:w="2970" w:type="dxa"/>
            <w:tcBorders>
              <w:top w:val="single" w:sz="8" w:space="0" w:color="FFFFFF"/>
              <w:left w:val="single" w:sz="8" w:space="0" w:color="FFFFFF"/>
              <w:bottom w:val="single" w:sz="8" w:space="0" w:color="FFFFFF"/>
              <w:right w:val="single" w:sz="8" w:space="0" w:color="FFFFFF"/>
            </w:tcBorders>
            <w:shd w:val="clear" w:color="auto" w:fill="B8CCE4"/>
            <w:tcMar>
              <w:top w:w="72" w:type="dxa"/>
              <w:left w:w="144" w:type="dxa"/>
              <w:bottom w:w="72" w:type="dxa"/>
              <w:right w:w="144" w:type="dxa"/>
            </w:tcMar>
            <w:hideMark/>
          </w:tcPr>
          <w:p w:rsidR="001A2DFB" w:rsidRPr="001A2DFB" w:rsidRDefault="001A2DFB" w:rsidP="007F683D">
            <w:pPr>
              <w:spacing w:after="0" w:line="240" w:lineRule="auto"/>
              <w:rPr>
                <w:rFonts w:ascii="Times New Roman" w:eastAsia="Calibri" w:hAnsi="Times New Roman" w:cs="Times New Roman"/>
                <w:sz w:val="24"/>
                <w:szCs w:val="24"/>
              </w:rPr>
            </w:pPr>
            <w:r w:rsidRPr="001A2DFB">
              <w:rPr>
                <w:rFonts w:ascii="Calibri" w:eastAsia="Times New Roman" w:hAnsi="Calibri" w:cs="Lucida Sans Unicode"/>
                <w:b/>
                <w:bCs/>
                <w:color w:val="003366"/>
                <w:kern w:val="24"/>
                <w:szCs w:val="24"/>
              </w:rPr>
              <w:t>Maaco</w:t>
            </w:r>
          </w:p>
        </w:tc>
        <w:tc>
          <w:tcPr>
            <w:tcW w:w="2844" w:type="dxa"/>
            <w:tcBorders>
              <w:top w:val="single" w:sz="8" w:space="0" w:color="FFFFFF"/>
              <w:left w:val="single" w:sz="8" w:space="0" w:color="FFFFFF"/>
              <w:bottom w:val="single" w:sz="8" w:space="0" w:color="FFFFFF"/>
              <w:right w:val="single" w:sz="8" w:space="0" w:color="FFFFFF"/>
            </w:tcBorders>
            <w:shd w:val="clear" w:color="auto" w:fill="B8CCE4"/>
            <w:tcMar>
              <w:top w:w="72" w:type="dxa"/>
              <w:left w:w="144" w:type="dxa"/>
              <w:bottom w:w="72" w:type="dxa"/>
              <w:right w:w="144" w:type="dxa"/>
            </w:tcMar>
            <w:hideMark/>
          </w:tcPr>
          <w:p w:rsidR="001A2DFB" w:rsidRPr="001A2DFB" w:rsidRDefault="001A2DFB" w:rsidP="007F683D">
            <w:pPr>
              <w:spacing w:after="0" w:line="240" w:lineRule="auto"/>
              <w:rPr>
                <w:rFonts w:ascii="Calibri" w:eastAsia="Times New Roman" w:hAnsi="Calibri" w:cs="Arial"/>
                <w:szCs w:val="24"/>
              </w:rPr>
            </w:pPr>
            <w:r w:rsidRPr="001A2DFB">
              <w:rPr>
                <w:rFonts w:ascii="Calibri" w:eastAsia="Times New Roman" w:hAnsi="Calibri" w:cs="Lucida Sans Unicode"/>
                <w:b/>
                <w:bCs/>
                <w:color w:val="A3171E"/>
                <w:kern w:val="24"/>
                <w:szCs w:val="24"/>
              </w:rPr>
              <w:t>Group 1</w:t>
            </w:r>
          </w:p>
        </w:tc>
      </w:tr>
      <w:tr w:rsidR="001A2DFB" w:rsidRPr="001A2DFB" w:rsidTr="001A2DFB">
        <w:trPr>
          <w:trHeight w:val="144"/>
        </w:trPr>
        <w:tc>
          <w:tcPr>
            <w:tcW w:w="3456" w:type="dxa"/>
            <w:tcBorders>
              <w:top w:val="single" w:sz="8" w:space="0" w:color="FFFFFF"/>
              <w:left w:val="single" w:sz="8" w:space="0" w:color="FFFFFF"/>
              <w:bottom w:val="single" w:sz="8" w:space="0" w:color="FFFFFF"/>
              <w:right w:val="single" w:sz="8" w:space="0" w:color="FFFFFF"/>
            </w:tcBorders>
            <w:shd w:val="clear" w:color="auto" w:fill="DBE5F1"/>
            <w:tcMar>
              <w:top w:w="72" w:type="dxa"/>
              <w:left w:w="144" w:type="dxa"/>
              <w:bottom w:w="72" w:type="dxa"/>
              <w:right w:w="144" w:type="dxa"/>
            </w:tcMar>
            <w:hideMark/>
          </w:tcPr>
          <w:p w:rsidR="001A2DFB" w:rsidRPr="001A2DFB" w:rsidRDefault="001A2DFB" w:rsidP="007F683D">
            <w:pPr>
              <w:spacing w:after="0" w:line="240" w:lineRule="auto"/>
              <w:rPr>
                <w:rFonts w:ascii="Times New Roman" w:eastAsia="Calibri" w:hAnsi="Times New Roman" w:cs="Times New Roman"/>
                <w:sz w:val="24"/>
                <w:szCs w:val="24"/>
              </w:rPr>
            </w:pPr>
            <w:r w:rsidRPr="001A2DFB">
              <w:rPr>
                <w:rFonts w:ascii="Calibri" w:eastAsia="Times New Roman" w:hAnsi="Calibri" w:cs="Lucida Sans Unicode"/>
                <w:b/>
                <w:bCs/>
                <w:color w:val="003366"/>
                <w:kern w:val="24"/>
                <w:szCs w:val="24"/>
              </w:rPr>
              <w:t>CARSTAR</w:t>
            </w:r>
          </w:p>
        </w:tc>
        <w:tc>
          <w:tcPr>
            <w:tcW w:w="2970" w:type="dxa"/>
            <w:tcBorders>
              <w:top w:val="single" w:sz="8" w:space="0" w:color="FFFFFF"/>
              <w:left w:val="single" w:sz="8" w:space="0" w:color="FFFFFF"/>
              <w:bottom w:val="single" w:sz="8" w:space="0" w:color="FFFFFF"/>
              <w:right w:val="single" w:sz="8" w:space="0" w:color="FFFFFF"/>
            </w:tcBorders>
            <w:shd w:val="clear" w:color="auto" w:fill="DBE5F1"/>
            <w:tcMar>
              <w:top w:w="72" w:type="dxa"/>
              <w:left w:w="144" w:type="dxa"/>
              <w:bottom w:w="72" w:type="dxa"/>
              <w:right w:w="144" w:type="dxa"/>
            </w:tcMar>
            <w:hideMark/>
          </w:tcPr>
          <w:p w:rsidR="001A2DFB" w:rsidRPr="001A2DFB" w:rsidRDefault="001A2DFB" w:rsidP="007F683D">
            <w:pPr>
              <w:spacing w:after="0" w:line="240" w:lineRule="auto"/>
              <w:rPr>
                <w:rFonts w:ascii="Times New Roman" w:eastAsia="Calibri" w:hAnsi="Times New Roman" w:cs="Times New Roman"/>
                <w:sz w:val="24"/>
                <w:szCs w:val="24"/>
              </w:rPr>
            </w:pPr>
            <w:r w:rsidRPr="001A2DFB">
              <w:rPr>
                <w:rFonts w:ascii="Calibri" w:eastAsia="Times New Roman" w:hAnsi="Calibri" w:cs="Lucida Sans Unicode"/>
                <w:b/>
                <w:bCs/>
                <w:color w:val="003366"/>
                <w:kern w:val="24"/>
                <w:szCs w:val="24"/>
              </w:rPr>
              <w:t>CARSTAR</w:t>
            </w:r>
          </w:p>
        </w:tc>
        <w:tc>
          <w:tcPr>
            <w:tcW w:w="2844" w:type="dxa"/>
            <w:tcBorders>
              <w:top w:val="single" w:sz="8" w:space="0" w:color="FFFFFF"/>
              <w:left w:val="single" w:sz="8" w:space="0" w:color="FFFFFF"/>
              <w:bottom w:val="single" w:sz="8" w:space="0" w:color="FFFFFF"/>
              <w:right w:val="single" w:sz="8" w:space="0" w:color="FFFFFF"/>
            </w:tcBorders>
            <w:shd w:val="clear" w:color="auto" w:fill="DBE5F1"/>
            <w:tcMar>
              <w:top w:w="72" w:type="dxa"/>
              <w:left w:w="144" w:type="dxa"/>
              <w:bottom w:w="72" w:type="dxa"/>
              <w:right w:w="144" w:type="dxa"/>
            </w:tcMar>
            <w:hideMark/>
          </w:tcPr>
          <w:p w:rsidR="001A2DFB" w:rsidRPr="001A2DFB" w:rsidRDefault="001A2DFB" w:rsidP="007F683D">
            <w:pPr>
              <w:spacing w:after="0" w:line="240" w:lineRule="auto"/>
              <w:rPr>
                <w:rFonts w:ascii="Calibri" w:eastAsia="Times New Roman" w:hAnsi="Calibri" w:cs="Arial"/>
                <w:szCs w:val="24"/>
              </w:rPr>
            </w:pPr>
            <w:r w:rsidRPr="001A2DFB">
              <w:rPr>
                <w:rFonts w:ascii="Calibri" w:eastAsia="Times New Roman" w:hAnsi="Calibri" w:cs="Lucida Sans Unicode"/>
                <w:b/>
                <w:bCs/>
                <w:color w:val="A3171E"/>
                <w:kern w:val="24"/>
                <w:szCs w:val="24"/>
              </w:rPr>
              <w:t xml:space="preserve">Asbury </w:t>
            </w:r>
          </w:p>
        </w:tc>
      </w:tr>
      <w:tr w:rsidR="001A2DFB" w:rsidRPr="001A2DFB" w:rsidTr="001A2DFB">
        <w:trPr>
          <w:trHeight w:val="144"/>
        </w:trPr>
        <w:tc>
          <w:tcPr>
            <w:tcW w:w="3456" w:type="dxa"/>
            <w:tcBorders>
              <w:top w:val="single" w:sz="8" w:space="0" w:color="FFFFFF"/>
              <w:left w:val="single" w:sz="8" w:space="0" w:color="FFFFFF"/>
              <w:bottom w:val="single" w:sz="8" w:space="0" w:color="FFFFFF"/>
              <w:right w:val="single" w:sz="8" w:space="0" w:color="FFFFFF"/>
            </w:tcBorders>
            <w:shd w:val="clear" w:color="auto" w:fill="B8CCE4"/>
            <w:tcMar>
              <w:top w:w="72" w:type="dxa"/>
              <w:left w:w="144" w:type="dxa"/>
              <w:bottom w:w="72" w:type="dxa"/>
              <w:right w:w="144" w:type="dxa"/>
            </w:tcMar>
            <w:hideMark/>
          </w:tcPr>
          <w:p w:rsidR="001A2DFB" w:rsidRPr="001A2DFB" w:rsidRDefault="001A2DFB" w:rsidP="007F683D">
            <w:pPr>
              <w:spacing w:after="0" w:line="240" w:lineRule="auto"/>
              <w:rPr>
                <w:rFonts w:ascii="Calibri" w:eastAsia="Times New Roman" w:hAnsi="Calibri" w:cs="Arial"/>
                <w:szCs w:val="24"/>
              </w:rPr>
            </w:pPr>
            <w:r w:rsidRPr="001A2DFB">
              <w:rPr>
                <w:rFonts w:ascii="Calibri" w:eastAsia="Times New Roman" w:hAnsi="Calibri" w:cs="Lucida Sans Unicode"/>
                <w:b/>
                <w:bCs/>
                <w:color w:val="A3171E"/>
                <w:kern w:val="24"/>
                <w:szCs w:val="24"/>
              </w:rPr>
              <w:t xml:space="preserve">Auto Nation </w:t>
            </w:r>
          </w:p>
        </w:tc>
        <w:tc>
          <w:tcPr>
            <w:tcW w:w="2970" w:type="dxa"/>
            <w:tcBorders>
              <w:top w:val="single" w:sz="8" w:space="0" w:color="FFFFFF"/>
              <w:left w:val="single" w:sz="8" w:space="0" w:color="FFFFFF"/>
              <w:bottom w:val="single" w:sz="8" w:space="0" w:color="FFFFFF"/>
              <w:right w:val="single" w:sz="8" w:space="0" w:color="FFFFFF"/>
            </w:tcBorders>
            <w:shd w:val="clear" w:color="auto" w:fill="B8CCE4"/>
            <w:tcMar>
              <w:top w:w="72" w:type="dxa"/>
              <w:left w:w="144" w:type="dxa"/>
              <w:bottom w:w="72" w:type="dxa"/>
              <w:right w:w="144" w:type="dxa"/>
            </w:tcMar>
            <w:hideMark/>
          </w:tcPr>
          <w:p w:rsidR="001A2DFB" w:rsidRPr="001A2DFB" w:rsidRDefault="001A2DFB" w:rsidP="007F683D">
            <w:pPr>
              <w:spacing w:after="0" w:line="240" w:lineRule="auto"/>
              <w:rPr>
                <w:rFonts w:ascii="Calibri" w:eastAsia="Times New Roman" w:hAnsi="Calibri" w:cs="Arial"/>
                <w:szCs w:val="24"/>
              </w:rPr>
            </w:pPr>
            <w:r w:rsidRPr="001A2DFB">
              <w:rPr>
                <w:rFonts w:ascii="Calibri" w:eastAsia="Times New Roman" w:hAnsi="Calibri" w:cs="Lucida Sans Unicode"/>
                <w:b/>
                <w:bCs/>
                <w:color w:val="003366"/>
                <w:kern w:val="24"/>
                <w:szCs w:val="24"/>
              </w:rPr>
              <w:t>Fix Auto</w:t>
            </w:r>
          </w:p>
        </w:tc>
        <w:tc>
          <w:tcPr>
            <w:tcW w:w="2844" w:type="dxa"/>
            <w:tcBorders>
              <w:top w:val="single" w:sz="8" w:space="0" w:color="FFFFFF"/>
              <w:left w:val="single" w:sz="8" w:space="0" w:color="FFFFFF"/>
              <w:bottom w:val="single" w:sz="8" w:space="0" w:color="FFFFFF"/>
              <w:right w:val="single" w:sz="8" w:space="0" w:color="FFFFFF"/>
            </w:tcBorders>
            <w:shd w:val="clear" w:color="auto" w:fill="B8CCE4"/>
            <w:tcMar>
              <w:top w:w="72" w:type="dxa"/>
              <w:left w:w="144" w:type="dxa"/>
              <w:bottom w:w="72" w:type="dxa"/>
              <w:right w:w="144" w:type="dxa"/>
            </w:tcMar>
            <w:hideMark/>
          </w:tcPr>
          <w:p w:rsidR="001A2DFB" w:rsidRPr="001A2DFB" w:rsidRDefault="001A2DFB" w:rsidP="007F683D">
            <w:pPr>
              <w:spacing w:after="0" w:line="240" w:lineRule="auto"/>
              <w:rPr>
                <w:rFonts w:ascii="Calibri" w:eastAsia="Times New Roman" w:hAnsi="Calibri" w:cs="Arial"/>
                <w:szCs w:val="24"/>
              </w:rPr>
            </w:pPr>
            <w:r w:rsidRPr="001A2DFB">
              <w:rPr>
                <w:rFonts w:ascii="Calibri" w:eastAsia="Times New Roman" w:hAnsi="Calibri" w:cs="Lucida Sans Unicode"/>
                <w:b/>
                <w:bCs/>
                <w:color w:val="A3171E"/>
                <w:kern w:val="24"/>
                <w:szCs w:val="24"/>
              </w:rPr>
              <w:t xml:space="preserve">Sonic </w:t>
            </w:r>
          </w:p>
        </w:tc>
      </w:tr>
      <w:tr w:rsidR="001A2DFB" w:rsidRPr="001A2DFB" w:rsidTr="001A2DFB">
        <w:trPr>
          <w:trHeight w:val="144"/>
        </w:trPr>
        <w:tc>
          <w:tcPr>
            <w:tcW w:w="3456" w:type="dxa"/>
            <w:tcBorders>
              <w:top w:val="single" w:sz="8" w:space="0" w:color="FFFFFF"/>
              <w:left w:val="single" w:sz="8" w:space="0" w:color="FFFFFF"/>
              <w:bottom w:val="single" w:sz="8" w:space="0" w:color="FFFFFF"/>
              <w:right w:val="single" w:sz="8" w:space="0" w:color="FFFFFF"/>
            </w:tcBorders>
            <w:shd w:val="clear" w:color="auto" w:fill="DBE5F1"/>
            <w:tcMar>
              <w:top w:w="72" w:type="dxa"/>
              <w:left w:w="144" w:type="dxa"/>
              <w:bottom w:w="72" w:type="dxa"/>
              <w:right w:w="144" w:type="dxa"/>
            </w:tcMar>
            <w:hideMark/>
          </w:tcPr>
          <w:p w:rsidR="001A2DFB" w:rsidRPr="001A2DFB" w:rsidRDefault="001A2DFB" w:rsidP="007F683D">
            <w:pPr>
              <w:spacing w:after="0" w:line="240" w:lineRule="auto"/>
              <w:rPr>
                <w:rFonts w:ascii="Calibri" w:eastAsia="Times New Roman" w:hAnsi="Calibri" w:cs="Arial"/>
                <w:szCs w:val="24"/>
              </w:rPr>
            </w:pPr>
            <w:r w:rsidRPr="001A2DFB">
              <w:rPr>
                <w:rFonts w:ascii="Calibri" w:eastAsia="Times New Roman" w:hAnsi="Calibri" w:cs="Lucida Sans Unicode"/>
                <w:b/>
                <w:bCs/>
                <w:color w:val="A3171E"/>
                <w:kern w:val="24"/>
                <w:szCs w:val="24"/>
              </w:rPr>
              <w:t>Hendricks</w:t>
            </w:r>
          </w:p>
        </w:tc>
        <w:tc>
          <w:tcPr>
            <w:tcW w:w="2970" w:type="dxa"/>
            <w:tcBorders>
              <w:top w:val="single" w:sz="8" w:space="0" w:color="FFFFFF"/>
              <w:left w:val="single" w:sz="8" w:space="0" w:color="FFFFFF"/>
              <w:bottom w:val="single" w:sz="8" w:space="0" w:color="FFFFFF"/>
              <w:right w:val="single" w:sz="8" w:space="0" w:color="FFFFFF"/>
            </w:tcBorders>
            <w:shd w:val="clear" w:color="auto" w:fill="DBE5F1"/>
            <w:tcMar>
              <w:top w:w="72" w:type="dxa"/>
              <w:left w:w="144" w:type="dxa"/>
              <w:bottom w:w="72" w:type="dxa"/>
              <w:right w:w="144" w:type="dxa"/>
            </w:tcMar>
            <w:hideMark/>
          </w:tcPr>
          <w:p w:rsidR="001A2DFB" w:rsidRPr="001A2DFB" w:rsidRDefault="001A2DFB" w:rsidP="007F683D">
            <w:pPr>
              <w:spacing w:after="0" w:line="240" w:lineRule="auto"/>
              <w:rPr>
                <w:rFonts w:ascii="Calibri" w:eastAsia="Times New Roman" w:hAnsi="Calibri" w:cs="Arial"/>
                <w:szCs w:val="24"/>
              </w:rPr>
            </w:pPr>
            <w:r w:rsidRPr="001A2DFB">
              <w:rPr>
                <w:rFonts w:ascii="Calibri" w:eastAsia="Times New Roman" w:hAnsi="Calibri" w:cs="Lucida Sans Unicode"/>
                <w:b/>
                <w:bCs/>
                <w:color w:val="003366"/>
                <w:kern w:val="24"/>
                <w:szCs w:val="24"/>
              </w:rPr>
              <w:t>Cook’s Collision</w:t>
            </w:r>
          </w:p>
        </w:tc>
        <w:tc>
          <w:tcPr>
            <w:tcW w:w="2844" w:type="dxa"/>
            <w:tcBorders>
              <w:top w:val="single" w:sz="8" w:space="0" w:color="FFFFFF"/>
              <w:left w:val="single" w:sz="8" w:space="0" w:color="FFFFFF"/>
              <w:bottom w:val="single" w:sz="8" w:space="0" w:color="FFFFFF"/>
              <w:right w:val="single" w:sz="8" w:space="0" w:color="FFFFFF"/>
            </w:tcBorders>
            <w:shd w:val="clear" w:color="auto" w:fill="DBE5F1"/>
            <w:tcMar>
              <w:top w:w="72" w:type="dxa"/>
              <w:left w:w="144" w:type="dxa"/>
              <w:bottom w:w="72" w:type="dxa"/>
              <w:right w:w="144" w:type="dxa"/>
            </w:tcMar>
            <w:hideMark/>
          </w:tcPr>
          <w:p w:rsidR="001A2DFB" w:rsidRPr="001A2DFB" w:rsidRDefault="001A2DFB" w:rsidP="007F683D">
            <w:pPr>
              <w:spacing w:after="0" w:line="240" w:lineRule="auto"/>
              <w:rPr>
                <w:rFonts w:ascii="Calibri" w:eastAsia="Times New Roman" w:hAnsi="Calibri" w:cs="Arial"/>
                <w:szCs w:val="24"/>
              </w:rPr>
            </w:pPr>
            <w:r w:rsidRPr="001A2DFB">
              <w:rPr>
                <w:rFonts w:ascii="Calibri" w:eastAsia="Times New Roman" w:hAnsi="Calibri" w:cs="Lucida Sans Unicode"/>
                <w:b/>
                <w:bCs/>
                <w:color w:val="A3171E"/>
                <w:kern w:val="24"/>
                <w:szCs w:val="24"/>
              </w:rPr>
              <w:t xml:space="preserve">Carl Sewell </w:t>
            </w:r>
          </w:p>
        </w:tc>
      </w:tr>
      <w:tr w:rsidR="001A2DFB" w:rsidRPr="001A2DFB" w:rsidTr="001A2DFB">
        <w:trPr>
          <w:trHeight w:val="144"/>
        </w:trPr>
        <w:tc>
          <w:tcPr>
            <w:tcW w:w="3456" w:type="dxa"/>
            <w:tcBorders>
              <w:top w:val="single" w:sz="8" w:space="0" w:color="FFFFFF"/>
              <w:left w:val="single" w:sz="8" w:space="0" w:color="FFFFFF"/>
              <w:bottom w:val="single" w:sz="8" w:space="0" w:color="FFFFFF"/>
              <w:right w:val="single" w:sz="8" w:space="0" w:color="FFFFFF"/>
            </w:tcBorders>
            <w:shd w:val="clear" w:color="auto" w:fill="B8CCE4"/>
            <w:tcMar>
              <w:top w:w="72" w:type="dxa"/>
              <w:left w:w="144" w:type="dxa"/>
              <w:bottom w:w="72" w:type="dxa"/>
              <w:right w:w="144" w:type="dxa"/>
            </w:tcMar>
            <w:hideMark/>
          </w:tcPr>
          <w:p w:rsidR="001A2DFB" w:rsidRPr="001A2DFB" w:rsidRDefault="001A2DFB" w:rsidP="007F683D">
            <w:pPr>
              <w:spacing w:after="0" w:line="240" w:lineRule="auto"/>
              <w:rPr>
                <w:rFonts w:ascii="Calibri" w:eastAsia="Times New Roman" w:hAnsi="Calibri" w:cs="Arial"/>
                <w:szCs w:val="24"/>
              </w:rPr>
            </w:pPr>
            <w:r w:rsidRPr="001A2DFB">
              <w:rPr>
                <w:rFonts w:ascii="Calibri" w:eastAsia="Times New Roman" w:hAnsi="Calibri" w:cs="Lucida Sans Unicode"/>
                <w:b/>
                <w:bCs/>
                <w:color w:val="A3171E"/>
                <w:kern w:val="24"/>
                <w:szCs w:val="24"/>
              </w:rPr>
              <w:t>Berkshire - VT</w:t>
            </w:r>
          </w:p>
        </w:tc>
        <w:tc>
          <w:tcPr>
            <w:tcW w:w="2970" w:type="dxa"/>
            <w:tcBorders>
              <w:top w:val="single" w:sz="8" w:space="0" w:color="FFFFFF"/>
              <w:left w:val="single" w:sz="8" w:space="0" w:color="FFFFFF"/>
              <w:bottom w:val="single" w:sz="8" w:space="0" w:color="FFFFFF"/>
              <w:right w:val="single" w:sz="8" w:space="0" w:color="FFFFFF"/>
            </w:tcBorders>
            <w:shd w:val="clear" w:color="auto" w:fill="B8CCE4"/>
            <w:tcMar>
              <w:top w:w="72" w:type="dxa"/>
              <w:left w:w="144" w:type="dxa"/>
              <w:bottom w:w="72" w:type="dxa"/>
              <w:right w:w="144" w:type="dxa"/>
            </w:tcMar>
            <w:hideMark/>
          </w:tcPr>
          <w:p w:rsidR="001A2DFB" w:rsidRPr="001A2DFB" w:rsidRDefault="001A2DFB" w:rsidP="007F683D">
            <w:pPr>
              <w:spacing w:after="0" w:line="240" w:lineRule="auto"/>
              <w:rPr>
                <w:rFonts w:ascii="Calibri" w:eastAsia="Times New Roman" w:hAnsi="Calibri" w:cs="Arial"/>
                <w:szCs w:val="24"/>
              </w:rPr>
            </w:pPr>
            <w:r w:rsidRPr="001A2DFB">
              <w:rPr>
                <w:rFonts w:ascii="Calibri" w:eastAsia="Times New Roman" w:hAnsi="Calibri" w:cs="Lucida Sans Unicode"/>
                <w:b/>
                <w:bCs/>
                <w:color w:val="003366"/>
                <w:kern w:val="24"/>
                <w:szCs w:val="24"/>
              </w:rPr>
              <w:t xml:space="preserve">Classic Collision </w:t>
            </w:r>
          </w:p>
        </w:tc>
        <w:tc>
          <w:tcPr>
            <w:tcW w:w="2844" w:type="dxa"/>
            <w:tcBorders>
              <w:top w:val="single" w:sz="8" w:space="0" w:color="FFFFFF"/>
              <w:left w:val="single" w:sz="8" w:space="0" w:color="FFFFFF"/>
              <w:bottom w:val="single" w:sz="8" w:space="0" w:color="FFFFFF"/>
              <w:right w:val="single" w:sz="8" w:space="0" w:color="FFFFFF"/>
            </w:tcBorders>
            <w:shd w:val="clear" w:color="auto" w:fill="B8CCE4"/>
            <w:tcMar>
              <w:top w:w="72" w:type="dxa"/>
              <w:left w:w="144" w:type="dxa"/>
              <w:bottom w:w="72" w:type="dxa"/>
              <w:right w:w="144" w:type="dxa"/>
            </w:tcMar>
            <w:hideMark/>
          </w:tcPr>
          <w:p w:rsidR="001A2DFB" w:rsidRPr="001A2DFB" w:rsidRDefault="001A2DFB" w:rsidP="007F683D">
            <w:pPr>
              <w:spacing w:after="0" w:line="240" w:lineRule="auto"/>
              <w:rPr>
                <w:rFonts w:ascii="Calibri" w:eastAsia="Times New Roman" w:hAnsi="Calibri" w:cs="Arial"/>
                <w:szCs w:val="24"/>
              </w:rPr>
            </w:pPr>
            <w:r w:rsidRPr="001A2DFB">
              <w:rPr>
                <w:rFonts w:ascii="Calibri" w:eastAsia="Times New Roman" w:hAnsi="Calibri" w:cs="Lucida Sans Unicode"/>
                <w:b/>
                <w:bCs/>
                <w:color w:val="A3171E"/>
                <w:kern w:val="24"/>
                <w:szCs w:val="24"/>
              </w:rPr>
              <w:t xml:space="preserve">Faulkner </w:t>
            </w:r>
          </w:p>
        </w:tc>
      </w:tr>
      <w:tr w:rsidR="001A2DFB" w:rsidRPr="001A2DFB" w:rsidTr="001A2DFB">
        <w:trPr>
          <w:trHeight w:val="144"/>
        </w:trPr>
        <w:tc>
          <w:tcPr>
            <w:tcW w:w="3456" w:type="dxa"/>
            <w:tcBorders>
              <w:top w:val="single" w:sz="8" w:space="0" w:color="FFFFFF"/>
              <w:left w:val="single" w:sz="8" w:space="0" w:color="FFFFFF"/>
              <w:bottom w:val="single" w:sz="8" w:space="0" w:color="FFFFFF"/>
              <w:right w:val="single" w:sz="8" w:space="0" w:color="FFFFFF"/>
            </w:tcBorders>
            <w:shd w:val="clear" w:color="auto" w:fill="DBE5F1"/>
            <w:tcMar>
              <w:top w:w="72" w:type="dxa"/>
              <w:left w:w="144" w:type="dxa"/>
              <w:bottom w:w="72" w:type="dxa"/>
              <w:right w:w="144" w:type="dxa"/>
            </w:tcMar>
            <w:hideMark/>
          </w:tcPr>
          <w:p w:rsidR="001A2DFB" w:rsidRPr="001A2DFB" w:rsidRDefault="001A2DFB" w:rsidP="007F683D">
            <w:pPr>
              <w:spacing w:after="0" w:line="240" w:lineRule="auto"/>
              <w:rPr>
                <w:rFonts w:ascii="Calibri" w:eastAsia="Times New Roman" w:hAnsi="Calibri" w:cs="Arial"/>
                <w:szCs w:val="24"/>
              </w:rPr>
            </w:pPr>
            <w:r w:rsidRPr="001A2DFB">
              <w:rPr>
                <w:rFonts w:ascii="Calibri" w:eastAsia="Times New Roman" w:hAnsi="Calibri" w:cs="Lucida Sans Unicode"/>
                <w:b/>
                <w:bCs/>
                <w:color w:val="003366"/>
                <w:kern w:val="24"/>
                <w:szCs w:val="24"/>
              </w:rPr>
              <w:t>Fix Auto</w:t>
            </w:r>
          </w:p>
        </w:tc>
        <w:tc>
          <w:tcPr>
            <w:tcW w:w="2970" w:type="dxa"/>
            <w:tcBorders>
              <w:top w:val="single" w:sz="8" w:space="0" w:color="FFFFFF"/>
              <w:left w:val="single" w:sz="8" w:space="0" w:color="FFFFFF"/>
              <w:bottom w:val="single" w:sz="8" w:space="0" w:color="FFFFFF"/>
              <w:right w:val="single" w:sz="8" w:space="0" w:color="FFFFFF"/>
            </w:tcBorders>
            <w:shd w:val="clear" w:color="auto" w:fill="DBE5F1"/>
            <w:tcMar>
              <w:top w:w="72" w:type="dxa"/>
              <w:left w:w="144" w:type="dxa"/>
              <w:bottom w:w="72" w:type="dxa"/>
              <w:right w:w="144" w:type="dxa"/>
            </w:tcMar>
            <w:hideMark/>
          </w:tcPr>
          <w:p w:rsidR="001A2DFB" w:rsidRPr="001A2DFB" w:rsidRDefault="001A2DFB" w:rsidP="007F683D">
            <w:pPr>
              <w:spacing w:after="0" w:line="240" w:lineRule="auto"/>
              <w:rPr>
                <w:rFonts w:ascii="Calibri" w:eastAsia="Times New Roman" w:hAnsi="Calibri" w:cs="Arial"/>
                <w:szCs w:val="24"/>
              </w:rPr>
            </w:pPr>
            <w:r w:rsidRPr="001A2DFB">
              <w:rPr>
                <w:rFonts w:ascii="Calibri" w:eastAsia="Times New Roman" w:hAnsi="Calibri" w:cs="Lucida Sans Unicode"/>
                <w:b/>
                <w:bCs/>
                <w:color w:val="003366"/>
                <w:kern w:val="24"/>
                <w:szCs w:val="24"/>
              </w:rPr>
              <w:t>Joe Hudson</w:t>
            </w:r>
          </w:p>
        </w:tc>
        <w:tc>
          <w:tcPr>
            <w:tcW w:w="2844" w:type="dxa"/>
            <w:tcBorders>
              <w:top w:val="single" w:sz="8" w:space="0" w:color="FFFFFF"/>
              <w:left w:val="single" w:sz="8" w:space="0" w:color="FFFFFF"/>
              <w:bottom w:val="single" w:sz="8" w:space="0" w:color="FFFFFF"/>
              <w:right w:val="single" w:sz="8" w:space="0" w:color="FFFFFF"/>
            </w:tcBorders>
            <w:shd w:val="clear" w:color="auto" w:fill="DBE5F1"/>
            <w:tcMar>
              <w:top w:w="72" w:type="dxa"/>
              <w:left w:w="144" w:type="dxa"/>
              <w:bottom w:w="72" w:type="dxa"/>
              <w:right w:w="144" w:type="dxa"/>
            </w:tcMar>
            <w:hideMark/>
          </w:tcPr>
          <w:p w:rsidR="001A2DFB" w:rsidRPr="001A2DFB" w:rsidRDefault="001A2DFB" w:rsidP="007F683D">
            <w:pPr>
              <w:spacing w:after="0" w:line="240" w:lineRule="auto"/>
              <w:rPr>
                <w:rFonts w:ascii="Calibri" w:eastAsia="Times New Roman" w:hAnsi="Calibri" w:cs="Arial"/>
                <w:szCs w:val="24"/>
              </w:rPr>
            </w:pPr>
            <w:r w:rsidRPr="001A2DFB">
              <w:rPr>
                <w:rFonts w:ascii="Calibri" w:eastAsia="Times New Roman" w:hAnsi="Calibri" w:cs="Lucida Sans Unicode"/>
                <w:b/>
                <w:bCs/>
                <w:color w:val="A3171E"/>
                <w:kern w:val="24"/>
                <w:szCs w:val="24"/>
              </w:rPr>
              <w:t>Sterling McCall</w:t>
            </w:r>
          </w:p>
        </w:tc>
      </w:tr>
    </w:tbl>
    <w:p w:rsidR="00575BA1" w:rsidRDefault="00575BA1">
      <w:pPr>
        <w:rPr>
          <w:b/>
          <w:sz w:val="28"/>
          <w:szCs w:val="28"/>
        </w:rPr>
      </w:pPr>
    </w:p>
    <w:p w:rsidR="00C8127E" w:rsidRPr="00597F2D" w:rsidRDefault="00C8127E" w:rsidP="007F683D">
      <w:pPr>
        <w:spacing w:after="120" w:line="240" w:lineRule="auto"/>
        <w:rPr>
          <w:b/>
          <w:sz w:val="28"/>
          <w:szCs w:val="28"/>
        </w:rPr>
      </w:pPr>
      <w:r w:rsidRPr="00597F2D">
        <w:rPr>
          <w:b/>
          <w:sz w:val="28"/>
          <w:szCs w:val="28"/>
        </w:rPr>
        <w:t xml:space="preserve">Canadian </w:t>
      </w:r>
      <w:r w:rsidR="007C6C27" w:rsidRPr="00597F2D">
        <w:rPr>
          <w:b/>
          <w:sz w:val="28"/>
          <w:szCs w:val="28"/>
        </w:rPr>
        <w:t xml:space="preserve">Collision Repair </w:t>
      </w:r>
      <w:r w:rsidRPr="00597F2D">
        <w:rPr>
          <w:b/>
          <w:sz w:val="28"/>
          <w:szCs w:val="28"/>
        </w:rPr>
        <w:t>Market</w:t>
      </w:r>
    </w:p>
    <w:p w:rsidR="00793F6C" w:rsidRPr="005C4EF2" w:rsidRDefault="0073249E" w:rsidP="00575BA1">
      <w:pPr>
        <w:spacing w:after="0" w:line="240" w:lineRule="auto"/>
        <w:rPr>
          <w:sz w:val="26"/>
          <w:szCs w:val="26"/>
        </w:rPr>
      </w:pPr>
      <w:r w:rsidRPr="005C4EF2">
        <w:rPr>
          <w:sz w:val="26"/>
          <w:szCs w:val="26"/>
        </w:rPr>
        <w:t>The Canadian market conti</w:t>
      </w:r>
      <w:r w:rsidR="00D5237D" w:rsidRPr="005C4EF2">
        <w:rPr>
          <w:sz w:val="26"/>
          <w:szCs w:val="26"/>
        </w:rPr>
        <w:t>n</w:t>
      </w:r>
      <w:r w:rsidRPr="005C4EF2">
        <w:rPr>
          <w:sz w:val="26"/>
          <w:szCs w:val="26"/>
        </w:rPr>
        <w:t>ues to consolidate wit</w:t>
      </w:r>
      <w:r w:rsidR="00D5237D" w:rsidRPr="005C4EF2">
        <w:rPr>
          <w:sz w:val="26"/>
          <w:szCs w:val="26"/>
        </w:rPr>
        <w:t>h the franchise and banner segmen</w:t>
      </w:r>
      <w:r w:rsidRPr="005C4EF2">
        <w:rPr>
          <w:sz w:val="26"/>
          <w:szCs w:val="26"/>
        </w:rPr>
        <w:t xml:space="preserve">t now representing a </w:t>
      </w:r>
      <w:r w:rsidR="00C67DBA" w:rsidRPr="005C4EF2">
        <w:rPr>
          <w:sz w:val="26"/>
          <w:szCs w:val="26"/>
        </w:rPr>
        <w:t xml:space="preserve">significant </w:t>
      </w:r>
      <w:r w:rsidR="00CD1CF4" w:rsidRPr="005C4EF2">
        <w:rPr>
          <w:sz w:val="26"/>
          <w:szCs w:val="26"/>
        </w:rPr>
        <w:t>52.0</w:t>
      </w:r>
      <w:r w:rsidR="001A2DFB" w:rsidRPr="005C4EF2">
        <w:rPr>
          <w:sz w:val="26"/>
          <w:szCs w:val="26"/>
        </w:rPr>
        <w:t xml:space="preserve"> percent</w:t>
      </w:r>
      <w:r w:rsidRPr="005C4EF2">
        <w:rPr>
          <w:sz w:val="26"/>
          <w:szCs w:val="26"/>
        </w:rPr>
        <w:t xml:space="preserve"> share of the </w:t>
      </w:r>
      <w:r w:rsidR="00575BA1" w:rsidRPr="005C4EF2">
        <w:rPr>
          <w:sz w:val="26"/>
          <w:szCs w:val="26"/>
        </w:rPr>
        <w:t xml:space="preserve">CAD </w:t>
      </w:r>
      <w:r w:rsidRPr="005C4EF2">
        <w:rPr>
          <w:sz w:val="26"/>
          <w:szCs w:val="26"/>
        </w:rPr>
        <w:t>$2.9 billion</w:t>
      </w:r>
      <w:r w:rsidR="00CD1CF4" w:rsidRPr="005C4EF2">
        <w:rPr>
          <w:sz w:val="26"/>
          <w:szCs w:val="26"/>
        </w:rPr>
        <w:t xml:space="preserve"> </w:t>
      </w:r>
      <w:r w:rsidR="00A72863" w:rsidRPr="005C4EF2">
        <w:rPr>
          <w:sz w:val="26"/>
          <w:szCs w:val="26"/>
        </w:rPr>
        <w:t xml:space="preserve">private insurance auto </w:t>
      </w:r>
      <w:r w:rsidRPr="005C4EF2">
        <w:rPr>
          <w:sz w:val="26"/>
          <w:szCs w:val="26"/>
        </w:rPr>
        <w:t xml:space="preserve">market. When </w:t>
      </w:r>
      <w:r w:rsidR="00575BA1" w:rsidRPr="005C4EF2">
        <w:rPr>
          <w:sz w:val="26"/>
          <w:szCs w:val="26"/>
        </w:rPr>
        <w:t>including</w:t>
      </w:r>
      <w:r w:rsidR="00CD1CF4" w:rsidRPr="005C4EF2">
        <w:rPr>
          <w:sz w:val="26"/>
          <w:szCs w:val="26"/>
        </w:rPr>
        <w:t xml:space="preserve"> </w:t>
      </w:r>
      <w:r w:rsidR="00C67DBA" w:rsidRPr="005C4EF2">
        <w:rPr>
          <w:sz w:val="26"/>
          <w:szCs w:val="26"/>
        </w:rPr>
        <w:t xml:space="preserve">the </w:t>
      </w:r>
      <w:r w:rsidR="001A2DFB" w:rsidRPr="005C4EF2">
        <w:rPr>
          <w:sz w:val="26"/>
          <w:szCs w:val="26"/>
        </w:rPr>
        <w:t>≥$10 million ML</w:t>
      </w:r>
      <w:r w:rsidR="00D5237D" w:rsidRPr="005C4EF2">
        <w:rPr>
          <w:sz w:val="26"/>
          <w:szCs w:val="26"/>
        </w:rPr>
        <w:t>Os</w:t>
      </w:r>
      <w:r w:rsidR="00C67DBA" w:rsidRPr="005C4EF2">
        <w:rPr>
          <w:sz w:val="26"/>
          <w:szCs w:val="26"/>
        </w:rPr>
        <w:t xml:space="preserve"> in Canada, </w:t>
      </w:r>
      <w:r w:rsidR="00A015F2" w:rsidRPr="005C4EF2">
        <w:rPr>
          <w:sz w:val="26"/>
          <w:szCs w:val="26"/>
        </w:rPr>
        <w:t>the combined lar</w:t>
      </w:r>
      <w:r w:rsidR="00C67DBA" w:rsidRPr="005C4EF2">
        <w:rPr>
          <w:sz w:val="26"/>
          <w:szCs w:val="26"/>
        </w:rPr>
        <w:t>ger segment has</w:t>
      </w:r>
      <w:r w:rsidR="007C2FA2" w:rsidRPr="005C4EF2">
        <w:rPr>
          <w:sz w:val="26"/>
          <w:szCs w:val="26"/>
        </w:rPr>
        <w:t xml:space="preserve"> a significant </w:t>
      </w:r>
      <w:r w:rsidR="00CD1CF4" w:rsidRPr="005C4EF2">
        <w:rPr>
          <w:sz w:val="26"/>
          <w:szCs w:val="26"/>
        </w:rPr>
        <w:t>71.8</w:t>
      </w:r>
      <w:r w:rsidR="001A2DFB" w:rsidRPr="005C4EF2">
        <w:rPr>
          <w:sz w:val="26"/>
          <w:szCs w:val="26"/>
        </w:rPr>
        <w:t xml:space="preserve"> percent</w:t>
      </w:r>
      <w:r w:rsidR="00D5237D" w:rsidRPr="005C4EF2">
        <w:rPr>
          <w:sz w:val="26"/>
          <w:szCs w:val="26"/>
        </w:rPr>
        <w:t xml:space="preserve"> of all the private</w:t>
      </w:r>
      <w:r w:rsidR="001A2DFB" w:rsidRPr="005C4EF2">
        <w:rPr>
          <w:sz w:val="26"/>
          <w:szCs w:val="26"/>
        </w:rPr>
        <w:t xml:space="preserve"> passenger insurer and consumer-</w:t>
      </w:r>
      <w:r w:rsidR="00D5237D" w:rsidRPr="005C4EF2">
        <w:rPr>
          <w:sz w:val="26"/>
          <w:szCs w:val="26"/>
        </w:rPr>
        <w:t>paid market</w:t>
      </w:r>
      <w:r w:rsidR="00453B9A" w:rsidRPr="005C4EF2">
        <w:rPr>
          <w:sz w:val="26"/>
          <w:szCs w:val="26"/>
        </w:rPr>
        <w:t xml:space="preserve">. </w:t>
      </w:r>
      <w:r w:rsidR="00343C3F" w:rsidRPr="005C4EF2">
        <w:rPr>
          <w:sz w:val="26"/>
          <w:szCs w:val="26"/>
        </w:rPr>
        <w:t>Under the All Repairers</w:t>
      </w:r>
      <w:r w:rsidR="0091611F" w:rsidRPr="005C4EF2">
        <w:rPr>
          <w:sz w:val="26"/>
          <w:szCs w:val="26"/>
        </w:rPr>
        <w:t xml:space="preserve"> column, we see four</w:t>
      </w:r>
      <w:r w:rsidR="00343C3F" w:rsidRPr="005C4EF2">
        <w:rPr>
          <w:sz w:val="26"/>
          <w:szCs w:val="26"/>
        </w:rPr>
        <w:t xml:space="preserve"> </w:t>
      </w:r>
      <w:r w:rsidR="0091611F" w:rsidRPr="005C4EF2">
        <w:rPr>
          <w:sz w:val="26"/>
          <w:szCs w:val="26"/>
        </w:rPr>
        <w:t>banner</w:t>
      </w:r>
      <w:r w:rsidR="00343C3F" w:rsidRPr="005C4EF2">
        <w:rPr>
          <w:sz w:val="26"/>
          <w:szCs w:val="26"/>
        </w:rPr>
        <w:t xml:space="preserve"> and </w:t>
      </w:r>
      <w:r w:rsidR="0097008E" w:rsidRPr="005C4EF2">
        <w:rPr>
          <w:sz w:val="26"/>
          <w:szCs w:val="26"/>
        </w:rPr>
        <w:t>franchise</w:t>
      </w:r>
      <w:r w:rsidR="00343C3F" w:rsidRPr="005C4EF2">
        <w:rPr>
          <w:sz w:val="26"/>
          <w:szCs w:val="26"/>
        </w:rPr>
        <w:t xml:space="preserve"> groups leading the </w:t>
      </w:r>
      <w:r w:rsidR="00793F6C" w:rsidRPr="005C4EF2">
        <w:rPr>
          <w:sz w:val="26"/>
          <w:szCs w:val="26"/>
        </w:rPr>
        <w:t>Top 10</w:t>
      </w:r>
      <w:r w:rsidR="0091611F" w:rsidRPr="005C4EF2">
        <w:rPr>
          <w:sz w:val="26"/>
          <w:szCs w:val="26"/>
        </w:rPr>
        <w:t xml:space="preserve"> ranking followed by five</w:t>
      </w:r>
      <w:r w:rsidR="00343C3F" w:rsidRPr="005C4EF2">
        <w:rPr>
          <w:sz w:val="26"/>
          <w:szCs w:val="26"/>
        </w:rPr>
        <w:t xml:space="preserve"> independents and </w:t>
      </w:r>
      <w:r w:rsidR="0091611F" w:rsidRPr="005C4EF2">
        <w:rPr>
          <w:sz w:val="26"/>
          <w:szCs w:val="26"/>
        </w:rPr>
        <w:t>one dealer ML</w:t>
      </w:r>
      <w:r w:rsidR="001A2DFB" w:rsidRPr="005C4EF2">
        <w:rPr>
          <w:sz w:val="26"/>
          <w:szCs w:val="26"/>
        </w:rPr>
        <w:t>O</w:t>
      </w:r>
      <w:r w:rsidR="00343C3F" w:rsidRPr="005C4EF2">
        <w:rPr>
          <w:sz w:val="26"/>
          <w:szCs w:val="26"/>
        </w:rPr>
        <w:t>.</w:t>
      </w:r>
    </w:p>
    <w:p w:rsidR="005C4EF2" w:rsidRDefault="005C4EF2">
      <w:pPr>
        <w:rPr>
          <w:sz w:val="26"/>
          <w:szCs w:val="26"/>
        </w:rPr>
      </w:pPr>
      <w:r>
        <w:rPr>
          <w:sz w:val="26"/>
          <w:szCs w:val="26"/>
        </w:rPr>
        <w:br w:type="page"/>
      </w:r>
    </w:p>
    <w:p w:rsidR="00793F6C" w:rsidRPr="005C4EF2" w:rsidRDefault="00793F6C" w:rsidP="007F683D">
      <w:pPr>
        <w:spacing w:after="0" w:line="240" w:lineRule="auto"/>
        <w:rPr>
          <w:sz w:val="26"/>
          <w:szCs w:val="26"/>
        </w:rPr>
      </w:pPr>
    </w:p>
    <w:tbl>
      <w:tblPr>
        <w:tblpPr w:leftFromText="180" w:rightFromText="180" w:vertAnchor="text" w:horzAnchor="margin" w:tblpXSpec="center" w:tblpY="48"/>
        <w:tblW w:w="8810" w:type="dxa"/>
        <w:tblCellMar>
          <w:left w:w="0" w:type="dxa"/>
          <w:right w:w="0" w:type="dxa"/>
        </w:tblCellMar>
        <w:tblLook w:val="04A0" w:firstRow="1" w:lastRow="0" w:firstColumn="1" w:lastColumn="0" w:noHBand="0" w:noVBand="1"/>
      </w:tblPr>
      <w:tblGrid>
        <w:gridCol w:w="2936"/>
        <w:gridCol w:w="2937"/>
        <w:gridCol w:w="2937"/>
      </w:tblGrid>
      <w:tr w:rsidR="001A2DFB" w:rsidRPr="001A2DFB" w:rsidTr="001A2DFB">
        <w:trPr>
          <w:trHeight w:val="144"/>
        </w:trPr>
        <w:tc>
          <w:tcPr>
            <w:tcW w:w="8810" w:type="dxa"/>
            <w:gridSpan w:val="3"/>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1A2DFB" w:rsidRPr="001A2DFB" w:rsidRDefault="001A2DFB" w:rsidP="007F683D">
            <w:pPr>
              <w:spacing w:after="0" w:line="240" w:lineRule="auto"/>
              <w:jc w:val="center"/>
              <w:rPr>
                <w:rFonts w:ascii="Calibri" w:eastAsia="Times New Roman" w:hAnsi="Calibri" w:cs="Lucida Sans Unicode"/>
                <w:b/>
                <w:bCs/>
                <w:color w:val="FFFFFF"/>
                <w:kern w:val="24"/>
                <w:sz w:val="24"/>
                <w:szCs w:val="24"/>
              </w:rPr>
            </w:pPr>
            <w:r w:rsidRPr="001A2DFB">
              <w:rPr>
                <w:rFonts w:ascii="Calibri" w:eastAsia="Times New Roman" w:hAnsi="Calibri" w:cs="Lucida Sans Unicode"/>
                <w:b/>
                <w:bCs/>
                <w:color w:val="FFFFFF"/>
                <w:kern w:val="24"/>
                <w:sz w:val="28"/>
                <w:szCs w:val="24"/>
              </w:rPr>
              <w:t>Canada Top-Ranked Repairers - 2015</w:t>
            </w:r>
          </w:p>
        </w:tc>
      </w:tr>
      <w:tr w:rsidR="001A2DFB" w:rsidRPr="001A2DFB" w:rsidTr="001A2DFB">
        <w:trPr>
          <w:trHeight w:val="144"/>
        </w:trPr>
        <w:tc>
          <w:tcPr>
            <w:tcW w:w="2936" w:type="dxa"/>
            <w:tcBorders>
              <w:top w:val="single" w:sz="8" w:space="0" w:color="FFFFFF"/>
              <w:left w:val="single" w:sz="8" w:space="0" w:color="FFFFFF"/>
              <w:right w:val="single" w:sz="8" w:space="0" w:color="FFFFFF"/>
            </w:tcBorders>
            <w:shd w:val="clear" w:color="auto" w:fill="4F81BD"/>
            <w:tcMar>
              <w:top w:w="72" w:type="dxa"/>
              <w:left w:w="144" w:type="dxa"/>
              <w:bottom w:w="72" w:type="dxa"/>
              <w:right w:w="144" w:type="dxa"/>
            </w:tcMar>
            <w:vAlign w:val="center"/>
            <w:hideMark/>
          </w:tcPr>
          <w:p w:rsidR="001A2DFB" w:rsidRPr="001A2DFB" w:rsidRDefault="001A2DFB" w:rsidP="007F683D">
            <w:pPr>
              <w:spacing w:after="0" w:line="240" w:lineRule="auto"/>
              <w:jc w:val="center"/>
              <w:rPr>
                <w:rFonts w:ascii="Calibri" w:eastAsia="Times New Roman" w:hAnsi="Calibri" w:cs="Arial"/>
                <w:sz w:val="24"/>
                <w:szCs w:val="24"/>
              </w:rPr>
            </w:pPr>
            <w:r w:rsidRPr="001A2DFB">
              <w:rPr>
                <w:rFonts w:ascii="Calibri" w:eastAsia="Times New Roman" w:hAnsi="Calibri" w:cs="Lucida Sans Unicode"/>
                <w:b/>
                <w:bCs/>
                <w:color w:val="FFFFFF"/>
                <w:kern w:val="24"/>
                <w:sz w:val="24"/>
                <w:szCs w:val="24"/>
              </w:rPr>
              <w:t>All Repairers</w:t>
            </w:r>
          </w:p>
        </w:tc>
        <w:tc>
          <w:tcPr>
            <w:tcW w:w="2937" w:type="dxa"/>
            <w:tcBorders>
              <w:top w:val="single" w:sz="8" w:space="0" w:color="FFFFFF"/>
              <w:left w:val="single" w:sz="8" w:space="0" w:color="FFFFFF"/>
              <w:right w:val="single" w:sz="8" w:space="0" w:color="FFFFFF"/>
            </w:tcBorders>
            <w:shd w:val="clear" w:color="auto" w:fill="4F81BD"/>
            <w:tcMar>
              <w:top w:w="72" w:type="dxa"/>
              <w:left w:w="144" w:type="dxa"/>
              <w:bottom w:w="72" w:type="dxa"/>
              <w:right w:w="144" w:type="dxa"/>
            </w:tcMar>
            <w:vAlign w:val="center"/>
            <w:hideMark/>
          </w:tcPr>
          <w:p w:rsidR="001A2DFB" w:rsidRPr="001A2DFB" w:rsidRDefault="001A2DFB" w:rsidP="007F683D">
            <w:pPr>
              <w:spacing w:after="0" w:line="240" w:lineRule="auto"/>
              <w:jc w:val="center"/>
              <w:rPr>
                <w:rFonts w:ascii="Calibri" w:eastAsia="Times New Roman" w:hAnsi="Calibri" w:cs="Lucida Sans Unicode"/>
                <w:b/>
                <w:color w:val="FFFFFF"/>
                <w:sz w:val="24"/>
                <w:szCs w:val="24"/>
              </w:rPr>
            </w:pPr>
            <w:r w:rsidRPr="001A2DFB">
              <w:rPr>
                <w:rFonts w:ascii="Calibri" w:eastAsia="Times New Roman" w:hAnsi="Calibri" w:cs="Lucida Sans Unicode"/>
                <w:b/>
                <w:color w:val="FFFFFF"/>
                <w:sz w:val="24"/>
                <w:szCs w:val="24"/>
              </w:rPr>
              <w:t>Franchisors &amp; Banners</w:t>
            </w:r>
          </w:p>
        </w:tc>
        <w:tc>
          <w:tcPr>
            <w:tcW w:w="2937" w:type="dxa"/>
            <w:tcBorders>
              <w:top w:val="single" w:sz="8" w:space="0" w:color="FFFFFF"/>
              <w:left w:val="single" w:sz="8" w:space="0" w:color="FFFFFF"/>
              <w:right w:val="single" w:sz="8" w:space="0" w:color="FFFFFF"/>
            </w:tcBorders>
            <w:shd w:val="clear" w:color="auto" w:fill="4F81BD"/>
            <w:tcMar>
              <w:top w:w="72" w:type="dxa"/>
              <w:left w:w="144" w:type="dxa"/>
              <w:bottom w:w="72" w:type="dxa"/>
              <w:right w:w="144" w:type="dxa"/>
            </w:tcMar>
            <w:vAlign w:val="center"/>
            <w:hideMark/>
          </w:tcPr>
          <w:p w:rsidR="001A2DFB" w:rsidRPr="001A2DFB" w:rsidRDefault="001A2DFB" w:rsidP="007F683D">
            <w:pPr>
              <w:spacing w:after="0" w:line="240" w:lineRule="auto"/>
              <w:jc w:val="center"/>
              <w:rPr>
                <w:rFonts w:ascii="Calibri" w:eastAsia="Times New Roman" w:hAnsi="Calibri" w:cs="Arial"/>
                <w:sz w:val="24"/>
                <w:szCs w:val="24"/>
              </w:rPr>
            </w:pPr>
            <w:r w:rsidRPr="001A2DFB">
              <w:rPr>
                <w:rFonts w:ascii="Calibri" w:eastAsia="Times New Roman" w:hAnsi="Calibri" w:cs="Lucida Sans Unicode"/>
                <w:b/>
                <w:bCs/>
                <w:color w:val="FFFFFF"/>
                <w:kern w:val="24"/>
                <w:sz w:val="24"/>
                <w:szCs w:val="24"/>
              </w:rPr>
              <w:t>Independents &amp; Dealers</w:t>
            </w:r>
          </w:p>
        </w:tc>
      </w:tr>
      <w:tr w:rsidR="001A2DFB" w:rsidRPr="001A2DFB" w:rsidTr="00C53F80">
        <w:trPr>
          <w:trHeight w:val="144"/>
        </w:trPr>
        <w:tc>
          <w:tcPr>
            <w:tcW w:w="2936" w:type="dxa"/>
            <w:tcBorders>
              <w:left w:val="single" w:sz="8" w:space="0" w:color="FFFFFF"/>
              <w:right w:val="single" w:sz="8" w:space="0" w:color="FFFFFF"/>
            </w:tcBorders>
            <w:shd w:val="clear" w:color="auto" w:fill="B8CCE4"/>
            <w:tcMar>
              <w:top w:w="72" w:type="dxa"/>
              <w:left w:w="144" w:type="dxa"/>
              <w:bottom w:w="72" w:type="dxa"/>
              <w:right w:w="144" w:type="dxa"/>
            </w:tcMar>
            <w:vAlign w:val="center"/>
            <w:hideMark/>
          </w:tcPr>
          <w:p w:rsidR="001A2DFB" w:rsidRPr="001A2DFB" w:rsidRDefault="001A2DFB" w:rsidP="007F683D">
            <w:pPr>
              <w:spacing w:after="0" w:line="240" w:lineRule="auto"/>
              <w:rPr>
                <w:rFonts w:ascii="Calibri" w:eastAsia="Times New Roman" w:hAnsi="Calibri" w:cs="Lucida Sans Unicode"/>
                <w:b/>
                <w:bCs/>
                <w:color w:val="003366"/>
                <w:kern w:val="24"/>
                <w:szCs w:val="24"/>
              </w:rPr>
            </w:pPr>
            <w:r w:rsidRPr="001A2DFB">
              <w:rPr>
                <w:rFonts w:ascii="Calibri" w:eastAsia="Times New Roman" w:hAnsi="Calibri" w:cs="Lucida Sans Unicode"/>
                <w:b/>
                <w:bCs/>
                <w:color w:val="003366"/>
                <w:kern w:val="24"/>
                <w:szCs w:val="24"/>
              </w:rPr>
              <w:t>Collision Solutions Network</w:t>
            </w:r>
          </w:p>
        </w:tc>
        <w:tc>
          <w:tcPr>
            <w:tcW w:w="2937" w:type="dxa"/>
            <w:tcBorders>
              <w:left w:val="single" w:sz="8" w:space="0" w:color="FFFFFF"/>
              <w:right w:val="single" w:sz="8" w:space="0" w:color="FFFFFF"/>
            </w:tcBorders>
            <w:shd w:val="clear" w:color="auto" w:fill="B8CCE4"/>
            <w:tcMar>
              <w:top w:w="72" w:type="dxa"/>
              <w:left w:w="144" w:type="dxa"/>
              <w:bottom w:w="72" w:type="dxa"/>
              <w:right w:w="144" w:type="dxa"/>
            </w:tcMar>
            <w:vAlign w:val="center"/>
            <w:hideMark/>
          </w:tcPr>
          <w:p w:rsidR="001A2DFB" w:rsidRPr="001A2DFB" w:rsidRDefault="001A2DFB" w:rsidP="007F683D">
            <w:pPr>
              <w:spacing w:after="0" w:line="240" w:lineRule="auto"/>
              <w:rPr>
                <w:rFonts w:ascii="Calibri" w:eastAsia="Times New Roman" w:hAnsi="Calibri" w:cs="Arial"/>
                <w:szCs w:val="24"/>
              </w:rPr>
            </w:pPr>
            <w:r w:rsidRPr="001A2DFB">
              <w:rPr>
                <w:rFonts w:ascii="Calibri" w:eastAsia="Times New Roman" w:hAnsi="Calibri" w:cs="Lucida Sans Unicode"/>
                <w:b/>
                <w:bCs/>
                <w:color w:val="003366"/>
                <w:kern w:val="24"/>
                <w:szCs w:val="24"/>
              </w:rPr>
              <w:t>Collision Solutions Network</w:t>
            </w:r>
          </w:p>
        </w:tc>
        <w:tc>
          <w:tcPr>
            <w:tcW w:w="2937" w:type="dxa"/>
            <w:tcBorders>
              <w:left w:val="single" w:sz="8" w:space="0" w:color="FFFFFF"/>
              <w:right w:val="single" w:sz="8" w:space="0" w:color="FFFFFF"/>
            </w:tcBorders>
            <w:shd w:val="clear" w:color="auto" w:fill="B8CCE4"/>
            <w:tcMar>
              <w:top w:w="72" w:type="dxa"/>
              <w:left w:w="144" w:type="dxa"/>
              <w:bottom w:w="72" w:type="dxa"/>
              <w:right w:w="144" w:type="dxa"/>
            </w:tcMar>
            <w:vAlign w:val="center"/>
            <w:hideMark/>
          </w:tcPr>
          <w:p w:rsidR="001A2DFB" w:rsidRPr="001A2DFB" w:rsidRDefault="001A2DFB" w:rsidP="007F683D">
            <w:pPr>
              <w:spacing w:after="0" w:line="240" w:lineRule="auto"/>
              <w:rPr>
                <w:rFonts w:ascii="Calibri" w:eastAsia="Times New Roman" w:hAnsi="Calibri" w:cs="Arial"/>
                <w:szCs w:val="24"/>
              </w:rPr>
            </w:pPr>
            <w:r w:rsidRPr="001A2DFB">
              <w:rPr>
                <w:rFonts w:ascii="Calibri" w:eastAsia="Times New Roman" w:hAnsi="Calibri" w:cs="Lucida Sans Unicode"/>
                <w:b/>
                <w:bCs/>
                <w:color w:val="A3171E"/>
                <w:kern w:val="24"/>
                <w:szCs w:val="24"/>
              </w:rPr>
              <w:t>Assured Automotive</w:t>
            </w:r>
          </w:p>
        </w:tc>
      </w:tr>
      <w:tr w:rsidR="001A2DFB" w:rsidRPr="001A2DFB" w:rsidTr="00C53F80">
        <w:trPr>
          <w:trHeight w:val="111"/>
        </w:trPr>
        <w:tc>
          <w:tcPr>
            <w:tcW w:w="2936" w:type="dxa"/>
            <w:tcBorders>
              <w:left w:val="single" w:sz="8" w:space="0" w:color="FFFFFF"/>
              <w:right w:val="single" w:sz="8" w:space="0" w:color="FFFFFF"/>
            </w:tcBorders>
            <w:shd w:val="clear" w:color="auto" w:fill="DBE5F1"/>
            <w:tcMar>
              <w:top w:w="72" w:type="dxa"/>
              <w:left w:w="144" w:type="dxa"/>
              <w:bottom w:w="72" w:type="dxa"/>
              <w:right w:w="144" w:type="dxa"/>
            </w:tcMar>
            <w:vAlign w:val="center"/>
            <w:hideMark/>
          </w:tcPr>
          <w:p w:rsidR="001A2DFB" w:rsidRPr="001A2DFB" w:rsidRDefault="001A2DFB" w:rsidP="007F683D">
            <w:pPr>
              <w:spacing w:after="0" w:line="240" w:lineRule="auto"/>
              <w:rPr>
                <w:rFonts w:ascii="Calibri" w:eastAsia="Times New Roman" w:hAnsi="Calibri" w:cs="Arial"/>
                <w:szCs w:val="24"/>
              </w:rPr>
            </w:pPr>
            <w:r w:rsidRPr="001A2DFB">
              <w:rPr>
                <w:rFonts w:ascii="Calibri" w:eastAsia="Times New Roman" w:hAnsi="Calibri" w:cs="Lucida Sans Unicode"/>
                <w:b/>
                <w:bCs/>
                <w:color w:val="003366"/>
                <w:kern w:val="24"/>
                <w:szCs w:val="24"/>
              </w:rPr>
              <w:t>CARSTAR</w:t>
            </w:r>
          </w:p>
        </w:tc>
        <w:tc>
          <w:tcPr>
            <w:tcW w:w="2937" w:type="dxa"/>
            <w:tcBorders>
              <w:left w:val="single" w:sz="8" w:space="0" w:color="FFFFFF"/>
              <w:right w:val="single" w:sz="8" w:space="0" w:color="FFFFFF"/>
            </w:tcBorders>
            <w:shd w:val="clear" w:color="auto" w:fill="DBE5F1"/>
            <w:tcMar>
              <w:top w:w="72" w:type="dxa"/>
              <w:left w:w="144" w:type="dxa"/>
              <w:bottom w:w="72" w:type="dxa"/>
              <w:right w:w="144" w:type="dxa"/>
            </w:tcMar>
            <w:vAlign w:val="center"/>
            <w:hideMark/>
          </w:tcPr>
          <w:p w:rsidR="001A2DFB" w:rsidRPr="001A2DFB" w:rsidRDefault="001A2DFB" w:rsidP="007F683D">
            <w:pPr>
              <w:spacing w:after="0" w:line="240" w:lineRule="auto"/>
              <w:rPr>
                <w:rFonts w:ascii="Calibri" w:eastAsia="Times New Roman" w:hAnsi="Calibri" w:cs="Arial"/>
                <w:szCs w:val="24"/>
              </w:rPr>
            </w:pPr>
            <w:r w:rsidRPr="001A2DFB">
              <w:rPr>
                <w:rFonts w:ascii="Calibri" w:eastAsia="Times New Roman" w:hAnsi="Calibri" w:cs="Lucida Sans Unicode"/>
                <w:b/>
                <w:bCs/>
                <w:color w:val="003366"/>
                <w:kern w:val="24"/>
                <w:szCs w:val="24"/>
              </w:rPr>
              <w:t>CARSTAR</w:t>
            </w:r>
          </w:p>
        </w:tc>
        <w:tc>
          <w:tcPr>
            <w:tcW w:w="2937" w:type="dxa"/>
            <w:tcBorders>
              <w:left w:val="single" w:sz="8" w:space="0" w:color="FFFFFF"/>
              <w:right w:val="single" w:sz="8" w:space="0" w:color="FFFFFF"/>
            </w:tcBorders>
            <w:shd w:val="clear" w:color="auto" w:fill="DBE5F1"/>
            <w:tcMar>
              <w:top w:w="72" w:type="dxa"/>
              <w:left w:w="144" w:type="dxa"/>
              <w:bottom w:w="72" w:type="dxa"/>
              <w:right w:w="144" w:type="dxa"/>
            </w:tcMar>
            <w:vAlign w:val="center"/>
            <w:hideMark/>
          </w:tcPr>
          <w:p w:rsidR="001A2DFB" w:rsidRPr="001A2DFB" w:rsidRDefault="001A2DFB" w:rsidP="007F683D">
            <w:pPr>
              <w:spacing w:after="0" w:line="240" w:lineRule="auto"/>
              <w:rPr>
                <w:rFonts w:ascii="Calibri" w:eastAsia="Times New Roman" w:hAnsi="Calibri" w:cs="Arial"/>
                <w:szCs w:val="24"/>
              </w:rPr>
            </w:pPr>
            <w:r w:rsidRPr="001A2DFB">
              <w:rPr>
                <w:rFonts w:ascii="Calibri" w:eastAsia="Times New Roman" w:hAnsi="Calibri" w:cs="Lucida Sans Unicode"/>
                <w:b/>
                <w:bCs/>
                <w:color w:val="A3171E"/>
                <w:kern w:val="24"/>
                <w:szCs w:val="24"/>
              </w:rPr>
              <w:t>Boyd</w:t>
            </w:r>
          </w:p>
        </w:tc>
      </w:tr>
      <w:tr w:rsidR="001A2DFB" w:rsidRPr="001A2DFB" w:rsidTr="00C53F80">
        <w:trPr>
          <w:trHeight w:val="144"/>
        </w:trPr>
        <w:tc>
          <w:tcPr>
            <w:tcW w:w="2936" w:type="dxa"/>
            <w:tcBorders>
              <w:left w:val="single" w:sz="8" w:space="0" w:color="FFFFFF"/>
              <w:right w:val="single" w:sz="8" w:space="0" w:color="FFFFFF"/>
            </w:tcBorders>
            <w:shd w:val="clear" w:color="auto" w:fill="B8CCE4"/>
            <w:tcMar>
              <w:top w:w="72" w:type="dxa"/>
              <w:left w:w="144" w:type="dxa"/>
              <w:bottom w:w="72" w:type="dxa"/>
              <w:right w:w="144" w:type="dxa"/>
            </w:tcMar>
            <w:vAlign w:val="center"/>
            <w:hideMark/>
          </w:tcPr>
          <w:p w:rsidR="001A2DFB" w:rsidRPr="001A2DFB" w:rsidRDefault="001A2DFB" w:rsidP="007F683D">
            <w:pPr>
              <w:spacing w:after="0" w:line="240" w:lineRule="auto"/>
              <w:rPr>
                <w:rFonts w:ascii="Calibri" w:eastAsia="Times New Roman" w:hAnsi="Calibri" w:cs="Arial"/>
                <w:szCs w:val="24"/>
              </w:rPr>
            </w:pPr>
            <w:r w:rsidRPr="001A2DFB">
              <w:rPr>
                <w:rFonts w:ascii="Calibri" w:eastAsia="Times New Roman" w:hAnsi="Calibri" w:cs="Lucida Sans Unicode"/>
                <w:b/>
                <w:bCs/>
                <w:color w:val="003366"/>
                <w:kern w:val="24"/>
                <w:szCs w:val="24"/>
              </w:rPr>
              <w:t>Fix Auto</w:t>
            </w:r>
          </w:p>
        </w:tc>
        <w:tc>
          <w:tcPr>
            <w:tcW w:w="2937" w:type="dxa"/>
            <w:tcBorders>
              <w:left w:val="single" w:sz="8" w:space="0" w:color="FFFFFF"/>
              <w:right w:val="single" w:sz="8" w:space="0" w:color="FFFFFF"/>
            </w:tcBorders>
            <w:shd w:val="clear" w:color="auto" w:fill="B8CCE4"/>
            <w:tcMar>
              <w:top w:w="72" w:type="dxa"/>
              <w:left w:w="144" w:type="dxa"/>
              <w:bottom w:w="72" w:type="dxa"/>
              <w:right w:w="144" w:type="dxa"/>
            </w:tcMar>
            <w:vAlign w:val="center"/>
            <w:hideMark/>
          </w:tcPr>
          <w:p w:rsidR="001A2DFB" w:rsidRPr="001A2DFB" w:rsidRDefault="001A2DFB" w:rsidP="007F683D">
            <w:pPr>
              <w:spacing w:after="0" w:line="240" w:lineRule="auto"/>
              <w:rPr>
                <w:rFonts w:ascii="Calibri" w:eastAsia="Times New Roman" w:hAnsi="Calibri" w:cs="Arial"/>
                <w:szCs w:val="24"/>
              </w:rPr>
            </w:pPr>
            <w:r w:rsidRPr="001A2DFB">
              <w:rPr>
                <w:rFonts w:ascii="Calibri" w:eastAsia="Times New Roman" w:hAnsi="Calibri" w:cs="Lucida Sans Unicode"/>
                <w:b/>
                <w:bCs/>
                <w:color w:val="003366"/>
                <w:kern w:val="24"/>
                <w:szCs w:val="24"/>
              </w:rPr>
              <w:t>Fix Auto</w:t>
            </w:r>
          </w:p>
        </w:tc>
        <w:tc>
          <w:tcPr>
            <w:tcW w:w="2937" w:type="dxa"/>
            <w:tcBorders>
              <w:left w:val="single" w:sz="8" w:space="0" w:color="FFFFFF"/>
              <w:right w:val="single" w:sz="8" w:space="0" w:color="FFFFFF"/>
            </w:tcBorders>
            <w:shd w:val="clear" w:color="auto" w:fill="B8CCE4"/>
            <w:tcMar>
              <w:top w:w="72" w:type="dxa"/>
              <w:left w:w="144" w:type="dxa"/>
              <w:bottom w:w="72" w:type="dxa"/>
              <w:right w:w="144" w:type="dxa"/>
            </w:tcMar>
            <w:vAlign w:val="center"/>
            <w:hideMark/>
          </w:tcPr>
          <w:p w:rsidR="001A2DFB" w:rsidRPr="001A2DFB" w:rsidRDefault="001A2DFB" w:rsidP="007F683D">
            <w:pPr>
              <w:spacing w:after="0" w:line="240" w:lineRule="auto"/>
              <w:rPr>
                <w:rFonts w:ascii="Calibri" w:eastAsia="Times New Roman" w:hAnsi="Calibri" w:cs="Arial"/>
                <w:szCs w:val="24"/>
              </w:rPr>
            </w:pPr>
            <w:r w:rsidRPr="001A2DFB">
              <w:rPr>
                <w:rFonts w:ascii="Calibri" w:eastAsia="Times New Roman" w:hAnsi="Calibri" w:cs="Lucida Sans Unicode"/>
                <w:b/>
                <w:bCs/>
                <w:color w:val="A3171E"/>
                <w:kern w:val="24"/>
                <w:szCs w:val="24"/>
              </w:rPr>
              <w:t>Craftsman</w:t>
            </w:r>
          </w:p>
        </w:tc>
      </w:tr>
      <w:tr w:rsidR="001A2DFB" w:rsidRPr="001A2DFB" w:rsidTr="00C53F80">
        <w:trPr>
          <w:trHeight w:val="144"/>
        </w:trPr>
        <w:tc>
          <w:tcPr>
            <w:tcW w:w="2936" w:type="dxa"/>
            <w:tcBorders>
              <w:left w:val="single" w:sz="8" w:space="0" w:color="FFFFFF"/>
              <w:right w:val="single" w:sz="8" w:space="0" w:color="FFFFFF"/>
            </w:tcBorders>
            <w:shd w:val="clear" w:color="auto" w:fill="DBE5F1"/>
            <w:tcMar>
              <w:top w:w="72" w:type="dxa"/>
              <w:left w:w="144" w:type="dxa"/>
              <w:bottom w:w="72" w:type="dxa"/>
              <w:right w:w="144" w:type="dxa"/>
            </w:tcMar>
            <w:vAlign w:val="center"/>
            <w:hideMark/>
          </w:tcPr>
          <w:p w:rsidR="001A2DFB" w:rsidRPr="001A2DFB" w:rsidRDefault="001A2DFB" w:rsidP="007F683D">
            <w:pPr>
              <w:spacing w:after="0" w:line="240" w:lineRule="auto"/>
              <w:rPr>
                <w:rFonts w:ascii="Calibri" w:eastAsia="Times New Roman" w:hAnsi="Calibri" w:cs="Arial"/>
                <w:szCs w:val="24"/>
              </w:rPr>
            </w:pPr>
            <w:r w:rsidRPr="001A2DFB">
              <w:rPr>
                <w:rFonts w:ascii="Calibri" w:eastAsia="Times New Roman" w:hAnsi="Calibri" w:cs="Lucida Sans Unicode"/>
                <w:b/>
                <w:bCs/>
                <w:color w:val="003366"/>
                <w:kern w:val="24"/>
                <w:szCs w:val="24"/>
              </w:rPr>
              <w:t>CarrXpert</w:t>
            </w:r>
          </w:p>
        </w:tc>
        <w:tc>
          <w:tcPr>
            <w:tcW w:w="2937" w:type="dxa"/>
            <w:tcBorders>
              <w:left w:val="single" w:sz="8" w:space="0" w:color="FFFFFF"/>
              <w:right w:val="single" w:sz="8" w:space="0" w:color="FFFFFF"/>
            </w:tcBorders>
            <w:shd w:val="clear" w:color="auto" w:fill="DBE5F1"/>
            <w:tcMar>
              <w:top w:w="72" w:type="dxa"/>
              <w:left w:w="144" w:type="dxa"/>
              <w:bottom w:w="72" w:type="dxa"/>
              <w:right w:w="144" w:type="dxa"/>
            </w:tcMar>
            <w:vAlign w:val="center"/>
            <w:hideMark/>
          </w:tcPr>
          <w:p w:rsidR="001A2DFB" w:rsidRPr="001A2DFB" w:rsidRDefault="001A2DFB" w:rsidP="007F683D">
            <w:pPr>
              <w:spacing w:after="0" w:line="240" w:lineRule="auto"/>
              <w:rPr>
                <w:rFonts w:ascii="Calibri" w:eastAsia="Times New Roman" w:hAnsi="Calibri" w:cs="Arial"/>
                <w:szCs w:val="24"/>
              </w:rPr>
            </w:pPr>
            <w:r w:rsidRPr="001A2DFB">
              <w:rPr>
                <w:rFonts w:ascii="Calibri" w:eastAsia="Times New Roman" w:hAnsi="Calibri" w:cs="Lucida Sans Unicode"/>
                <w:b/>
                <w:bCs/>
                <w:color w:val="003366"/>
                <w:kern w:val="24"/>
                <w:szCs w:val="24"/>
              </w:rPr>
              <w:t>CarrXpert</w:t>
            </w:r>
          </w:p>
        </w:tc>
        <w:tc>
          <w:tcPr>
            <w:tcW w:w="2937" w:type="dxa"/>
            <w:tcBorders>
              <w:left w:val="single" w:sz="8" w:space="0" w:color="FFFFFF"/>
              <w:right w:val="single" w:sz="8" w:space="0" w:color="FFFFFF"/>
            </w:tcBorders>
            <w:shd w:val="clear" w:color="auto" w:fill="DBE5F1"/>
            <w:tcMar>
              <w:top w:w="72" w:type="dxa"/>
              <w:left w:w="144" w:type="dxa"/>
              <w:bottom w:w="72" w:type="dxa"/>
              <w:right w:w="144" w:type="dxa"/>
            </w:tcMar>
            <w:vAlign w:val="center"/>
            <w:hideMark/>
          </w:tcPr>
          <w:p w:rsidR="001A2DFB" w:rsidRPr="001A2DFB" w:rsidRDefault="001A2DFB" w:rsidP="007F683D">
            <w:pPr>
              <w:spacing w:after="0" w:line="240" w:lineRule="auto"/>
              <w:rPr>
                <w:rFonts w:ascii="Calibri" w:eastAsia="Times New Roman" w:hAnsi="Calibri" w:cs="Arial"/>
                <w:szCs w:val="24"/>
              </w:rPr>
            </w:pPr>
            <w:r w:rsidRPr="001A2DFB">
              <w:rPr>
                <w:rFonts w:ascii="Calibri" w:eastAsia="Times New Roman" w:hAnsi="Calibri" w:cs="Lucida Sans Unicode"/>
                <w:b/>
                <w:bCs/>
                <w:color w:val="A3171E"/>
                <w:kern w:val="24"/>
                <w:szCs w:val="24"/>
              </w:rPr>
              <w:t>Auto Canada</w:t>
            </w:r>
          </w:p>
        </w:tc>
      </w:tr>
      <w:tr w:rsidR="001A2DFB" w:rsidRPr="001A2DFB" w:rsidTr="00C53F80">
        <w:trPr>
          <w:trHeight w:val="144"/>
        </w:trPr>
        <w:tc>
          <w:tcPr>
            <w:tcW w:w="2936" w:type="dxa"/>
            <w:tcBorders>
              <w:left w:val="single" w:sz="8" w:space="0" w:color="FFFFFF"/>
              <w:right w:val="single" w:sz="8" w:space="0" w:color="FFFFFF"/>
            </w:tcBorders>
            <w:shd w:val="clear" w:color="auto" w:fill="B8CCE4"/>
            <w:tcMar>
              <w:top w:w="72" w:type="dxa"/>
              <w:left w:w="144" w:type="dxa"/>
              <w:bottom w:w="72" w:type="dxa"/>
              <w:right w:w="144" w:type="dxa"/>
            </w:tcMar>
            <w:vAlign w:val="center"/>
            <w:hideMark/>
          </w:tcPr>
          <w:p w:rsidR="001A2DFB" w:rsidRPr="001A2DFB" w:rsidRDefault="001A2DFB" w:rsidP="007F683D">
            <w:pPr>
              <w:spacing w:after="0" w:line="240" w:lineRule="auto"/>
              <w:rPr>
                <w:rFonts w:ascii="Calibri" w:eastAsia="Times New Roman" w:hAnsi="Calibri" w:cs="Arial"/>
                <w:szCs w:val="24"/>
              </w:rPr>
            </w:pPr>
            <w:r w:rsidRPr="001A2DFB">
              <w:rPr>
                <w:rFonts w:ascii="Calibri" w:eastAsia="Times New Roman" w:hAnsi="Calibri" w:cs="Lucida Sans Unicode"/>
                <w:b/>
                <w:bCs/>
                <w:color w:val="A3171E"/>
                <w:kern w:val="24"/>
                <w:szCs w:val="24"/>
              </w:rPr>
              <w:t>Assured</w:t>
            </w:r>
          </w:p>
        </w:tc>
        <w:tc>
          <w:tcPr>
            <w:tcW w:w="2937" w:type="dxa"/>
            <w:tcBorders>
              <w:left w:val="single" w:sz="8" w:space="0" w:color="FFFFFF"/>
              <w:right w:val="single" w:sz="8" w:space="0" w:color="FFFFFF"/>
            </w:tcBorders>
            <w:shd w:val="clear" w:color="auto" w:fill="B8CCE4"/>
            <w:tcMar>
              <w:top w:w="72" w:type="dxa"/>
              <w:left w:w="144" w:type="dxa"/>
              <w:bottom w:w="72" w:type="dxa"/>
              <w:right w:w="144" w:type="dxa"/>
            </w:tcMar>
            <w:vAlign w:val="center"/>
            <w:hideMark/>
          </w:tcPr>
          <w:p w:rsidR="001A2DFB" w:rsidRPr="001A2DFB" w:rsidRDefault="001A2DFB" w:rsidP="007F683D">
            <w:pPr>
              <w:spacing w:after="0" w:line="240" w:lineRule="auto"/>
              <w:rPr>
                <w:rFonts w:ascii="Calibri" w:eastAsia="Times New Roman" w:hAnsi="Calibri" w:cs="Arial"/>
                <w:szCs w:val="24"/>
              </w:rPr>
            </w:pPr>
            <w:r w:rsidRPr="001A2DFB">
              <w:rPr>
                <w:rFonts w:ascii="Calibri" w:eastAsia="Times New Roman" w:hAnsi="Calibri" w:cs="Lucida Sans Unicode"/>
                <w:b/>
                <w:bCs/>
                <w:color w:val="003366"/>
                <w:kern w:val="24"/>
                <w:szCs w:val="24"/>
              </w:rPr>
              <w:t>Maaco</w:t>
            </w:r>
          </w:p>
        </w:tc>
        <w:tc>
          <w:tcPr>
            <w:tcW w:w="2937" w:type="dxa"/>
            <w:tcBorders>
              <w:left w:val="single" w:sz="8" w:space="0" w:color="FFFFFF"/>
              <w:right w:val="single" w:sz="8" w:space="0" w:color="FFFFFF"/>
            </w:tcBorders>
            <w:shd w:val="clear" w:color="auto" w:fill="B8CCE4"/>
            <w:tcMar>
              <w:top w:w="72" w:type="dxa"/>
              <w:left w:w="144" w:type="dxa"/>
              <w:bottom w:w="72" w:type="dxa"/>
              <w:right w:w="144" w:type="dxa"/>
            </w:tcMar>
            <w:vAlign w:val="center"/>
            <w:hideMark/>
          </w:tcPr>
          <w:p w:rsidR="001A2DFB" w:rsidRPr="001A2DFB" w:rsidRDefault="001A2DFB" w:rsidP="007F683D">
            <w:pPr>
              <w:spacing w:after="0" w:line="240" w:lineRule="auto"/>
              <w:rPr>
                <w:rFonts w:ascii="Calibri" w:eastAsia="Times New Roman" w:hAnsi="Calibri" w:cs="Arial"/>
                <w:szCs w:val="24"/>
              </w:rPr>
            </w:pPr>
            <w:r w:rsidRPr="001A2DFB">
              <w:rPr>
                <w:rFonts w:ascii="Calibri" w:eastAsia="Times New Roman" w:hAnsi="Calibri" w:cs="Lucida Sans Unicode"/>
                <w:b/>
                <w:bCs/>
                <w:color w:val="A3171E"/>
                <w:kern w:val="24"/>
                <w:szCs w:val="24"/>
              </w:rPr>
              <w:t>Kaizen</w:t>
            </w:r>
          </w:p>
        </w:tc>
      </w:tr>
      <w:tr w:rsidR="001A2DFB" w:rsidRPr="001A2DFB" w:rsidTr="00C53F80">
        <w:trPr>
          <w:trHeight w:val="144"/>
        </w:trPr>
        <w:tc>
          <w:tcPr>
            <w:tcW w:w="2936" w:type="dxa"/>
            <w:tcBorders>
              <w:left w:val="single" w:sz="8" w:space="0" w:color="FFFFFF"/>
              <w:right w:val="single" w:sz="8" w:space="0" w:color="FFFFFF"/>
            </w:tcBorders>
            <w:shd w:val="clear" w:color="auto" w:fill="DBE5F1"/>
            <w:tcMar>
              <w:top w:w="72" w:type="dxa"/>
              <w:left w:w="144" w:type="dxa"/>
              <w:bottom w:w="72" w:type="dxa"/>
              <w:right w:w="144" w:type="dxa"/>
            </w:tcMar>
            <w:vAlign w:val="center"/>
            <w:hideMark/>
          </w:tcPr>
          <w:p w:rsidR="001A2DFB" w:rsidRPr="001A2DFB" w:rsidRDefault="001A2DFB" w:rsidP="007F683D">
            <w:pPr>
              <w:spacing w:after="0" w:line="240" w:lineRule="auto"/>
              <w:rPr>
                <w:rFonts w:ascii="Calibri" w:eastAsia="Times New Roman" w:hAnsi="Calibri" w:cs="Arial"/>
                <w:szCs w:val="24"/>
              </w:rPr>
            </w:pPr>
            <w:r w:rsidRPr="001A2DFB">
              <w:rPr>
                <w:rFonts w:ascii="Calibri" w:eastAsia="Times New Roman" w:hAnsi="Calibri" w:cs="Lucida Sans Unicode"/>
                <w:b/>
                <w:bCs/>
                <w:color w:val="A3171E"/>
                <w:kern w:val="24"/>
                <w:szCs w:val="24"/>
              </w:rPr>
              <w:t>Boyd</w:t>
            </w:r>
          </w:p>
        </w:tc>
        <w:tc>
          <w:tcPr>
            <w:tcW w:w="2937" w:type="dxa"/>
            <w:tcBorders>
              <w:left w:val="single" w:sz="8" w:space="0" w:color="FFFFFF"/>
              <w:right w:val="single" w:sz="8" w:space="0" w:color="FFFFFF"/>
            </w:tcBorders>
            <w:shd w:val="clear" w:color="auto" w:fill="DBE5F1"/>
            <w:tcMar>
              <w:top w:w="72" w:type="dxa"/>
              <w:left w:w="144" w:type="dxa"/>
              <w:bottom w:w="72" w:type="dxa"/>
              <w:right w:w="144" w:type="dxa"/>
            </w:tcMar>
            <w:vAlign w:val="center"/>
            <w:hideMark/>
          </w:tcPr>
          <w:p w:rsidR="001A2DFB" w:rsidRPr="001A2DFB" w:rsidRDefault="001A2DFB" w:rsidP="007F683D">
            <w:pPr>
              <w:spacing w:after="0" w:line="240" w:lineRule="auto"/>
              <w:rPr>
                <w:rFonts w:ascii="Calibri" w:eastAsia="Times New Roman" w:hAnsi="Calibri" w:cs="Arial"/>
                <w:szCs w:val="24"/>
              </w:rPr>
            </w:pPr>
          </w:p>
        </w:tc>
        <w:tc>
          <w:tcPr>
            <w:tcW w:w="2937" w:type="dxa"/>
            <w:tcBorders>
              <w:left w:val="single" w:sz="8" w:space="0" w:color="FFFFFF"/>
              <w:right w:val="single" w:sz="8" w:space="0" w:color="FFFFFF"/>
            </w:tcBorders>
            <w:shd w:val="clear" w:color="auto" w:fill="DBE5F1"/>
            <w:tcMar>
              <w:top w:w="72" w:type="dxa"/>
              <w:left w:w="144" w:type="dxa"/>
              <w:bottom w:w="72" w:type="dxa"/>
              <w:right w:w="144" w:type="dxa"/>
            </w:tcMar>
            <w:vAlign w:val="center"/>
            <w:hideMark/>
          </w:tcPr>
          <w:p w:rsidR="001A2DFB" w:rsidRPr="001A2DFB" w:rsidRDefault="001A2DFB" w:rsidP="007F683D">
            <w:pPr>
              <w:spacing w:after="0" w:line="240" w:lineRule="auto"/>
              <w:rPr>
                <w:rFonts w:ascii="Calibri" w:eastAsia="Times New Roman" w:hAnsi="Calibri" w:cs="Arial"/>
                <w:szCs w:val="24"/>
              </w:rPr>
            </w:pPr>
            <w:r w:rsidRPr="001A2DFB">
              <w:rPr>
                <w:rFonts w:ascii="Calibri" w:eastAsia="Times New Roman" w:hAnsi="Calibri" w:cs="Lucida Sans Unicode"/>
                <w:b/>
                <w:bCs/>
                <w:color w:val="A3171E"/>
                <w:kern w:val="24"/>
                <w:szCs w:val="24"/>
              </w:rPr>
              <w:t>Speedy</w:t>
            </w:r>
          </w:p>
        </w:tc>
      </w:tr>
      <w:tr w:rsidR="001A2DFB" w:rsidRPr="001A2DFB" w:rsidTr="00C53F80">
        <w:trPr>
          <w:trHeight w:val="144"/>
        </w:trPr>
        <w:tc>
          <w:tcPr>
            <w:tcW w:w="2936" w:type="dxa"/>
            <w:tcBorders>
              <w:left w:val="single" w:sz="8" w:space="0" w:color="FFFFFF"/>
              <w:right w:val="single" w:sz="8" w:space="0" w:color="FFFFFF"/>
            </w:tcBorders>
            <w:shd w:val="clear" w:color="auto" w:fill="B8CCE4"/>
            <w:tcMar>
              <w:top w:w="72" w:type="dxa"/>
              <w:left w:w="144" w:type="dxa"/>
              <w:bottom w:w="72" w:type="dxa"/>
              <w:right w:w="144" w:type="dxa"/>
            </w:tcMar>
            <w:vAlign w:val="center"/>
            <w:hideMark/>
          </w:tcPr>
          <w:p w:rsidR="001A2DFB" w:rsidRPr="001A2DFB" w:rsidRDefault="001A2DFB" w:rsidP="007F683D">
            <w:pPr>
              <w:spacing w:after="0" w:line="240" w:lineRule="auto"/>
              <w:rPr>
                <w:rFonts w:ascii="Calibri" w:eastAsia="Times New Roman" w:hAnsi="Calibri" w:cs="Arial"/>
                <w:szCs w:val="24"/>
              </w:rPr>
            </w:pPr>
            <w:r w:rsidRPr="001A2DFB">
              <w:rPr>
                <w:rFonts w:ascii="Calibri" w:eastAsia="Times New Roman" w:hAnsi="Calibri" w:cs="Lucida Sans Unicode"/>
                <w:b/>
                <w:bCs/>
                <w:color w:val="A3171E"/>
                <w:kern w:val="24"/>
                <w:szCs w:val="24"/>
              </w:rPr>
              <w:t>Craftsman</w:t>
            </w:r>
          </w:p>
        </w:tc>
        <w:tc>
          <w:tcPr>
            <w:tcW w:w="2937" w:type="dxa"/>
            <w:tcBorders>
              <w:left w:val="single" w:sz="8" w:space="0" w:color="FFFFFF"/>
              <w:right w:val="single" w:sz="8" w:space="0" w:color="FFFFFF"/>
            </w:tcBorders>
            <w:shd w:val="clear" w:color="auto" w:fill="B8CCE4"/>
            <w:tcMar>
              <w:top w:w="72" w:type="dxa"/>
              <w:left w:w="144" w:type="dxa"/>
              <w:bottom w:w="72" w:type="dxa"/>
              <w:right w:w="144" w:type="dxa"/>
            </w:tcMar>
            <w:vAlign w:val="center"/>
            <w:hideMark/>
          </w:tcPr>
          <w:p w:rsidR="001A2DFB" w:rsidRPr="001A2DFB" w:rsidRDefault="001A2DFB" w:rsidP="007F683D">
            <w:pPr>
              <w:spacing w:after="0" w:line="240" w:lineRule="auto"/>
              <w:rPr>
                <w:rFonts w:ascii="Calibri" w:eastAsia="Times New Roman" w:hAnsi="Calibri" w:cs="Arial"/>
                <w:szCs w:val="24"/>
              </w:rPr>
            </w:pPr>
          </w:p>
        </w:tc>
        <w:tc>
          <w:tcPr>
            <w:tcW w:w="2937" w:type="dxa"/>
            <w:tcBorders>
              <w:left w:val="single" w:sz="8" w:space="0" w:color="FFFFFF"/>
              <w:right w:val="single" w:sz="8" w:space="0" w:color="FFFFFF"/>
            </w:tcBorders>
            <w:shd w:val="clear" w:color="auto" w:fill="B8CCE4"/>
            <w:tcMar>
              <w:top w:w="72" w:type="dxa"/>
              <w:left w:w="144" w:type="dxa"/>
              <w:bottom w:w="72" w:type="dxa"/>
              <w:right w:w="144" w:type="dxa"/>
            </w:tcMar>
            <w:vAlign w:val="center"/>
            <w:hideMark/>
          </w:tcPr>
          <w:p w:rsidR="001A2DFB" w:rsidRPr="001A2DFB" w:rsidRDefault="001A2DFB" w:rsidP="007F683D">
            <w:pPr>
              <w:spacing w:after="0" w:line="240" w:lineRule="auto"/>
              <w:rPr>
                <w:rFonts w:ascii="Calibri" w:eastAsia="Times New Roman" w:hAnsi="Calibri" w:cs="Arial"/>
                <w:szCs w:val="24"/>
              </w:rPr>
            </w:pPr>
            <w:r w:rsidRPr="001A2DFB">
              <w:rPr>
                <w:rFonts w:ascii="Calibri" w:eastAsia="Times New Roman" w:hAnsi="Calibri" w:cs="Lucida Sans Unicode"/>
                <w:b/>
                <w:bCs/>
                <w:color w:val="A3171E"/>
                <w:kern w:val="24"/>
                <w:szCs w:val="24"/>
              </w:rPr>
              <w:t>Kirmac</w:t>
            </w:r>
          </w:p>
        </w:tc>
      </w:tr>
      <w:tr w:rsidR="001A2DFB" w:rsidRPr="001A2DFB" w:rsidTr="00C53F80">
        <w:trPr>
          <w:trHeight w:val="144"/>
        </w:trPr>
        <w:tc>
          <w:tcPr>
            <w:tcW w:w="2936" w:type="dxa"/>
            <w:tcBorders>
              <w:left w:val="single" w:sz="8" w:space="0" w:color="FFFFFF"/>
              <w:right w:val="single" w:sz="8" w:space="0" w:color="FFFFFF"/>
            </w:tcBorders>
            <w:shd w:val="clear" w:color="auto" w:fill="DBE5F1"/>
            <w:tcMar>
              <w:top w:w="72" w:type="dxa"/>
              <w:left w:w="144" w:type="dxa"/>
              <w:bottom w:w="72" w:type="dxa"/>
              <w:right w:w="144" w:type="dxa"/>
            </w:tcMar>
            <w:vAlign w:val="center"/>
            <w:hideMark/>
          </w:tcPr>
          <w:p w:rsidR="001A2DFB" w:rsidRPr="001A2DFB" w:rsidRDefault="001A2DFB" w:rsidP="007F683D">
            <w:pPr>
              <w:spacing w:after="0" w:line="240" w:lineRule="auto"/>
              <w:rPr>
                <w:rFonts w:ascii="Calibri" w:eastAsia="Times New Roman" w:hAnsi="Calibri" w:cs="Arial"/>
                <w:szCs w:val="24"/>
              </w:rPr>
            </w:pPr>
            <w:r w:rsidRPr="001A2DFB">
              <w:rPr>
                <w:rFonts w:ascii="Calibri" w:eastAsia="Times New Roman" w:hAnsi="Calibri" w:cs="Lucida Sans Unicode"/>
                <w:b/>
                <w:bCs/>
                <w:color w:val="A3171E"/>
                <w:kern w:val="24"/>
                <w:szCs w:val="24"/>
              </w:rPr>
              <w:t>Auto Canada</w:t>
            </w:r>
          </w:p>
        </w:tc>
        <w:tc>
          <w:tcPr>
            <w:tcW w:w="2937" w:type="dxa"/>
            <w:tcBorders>
              <w:left w:val="single" w:sz="8" w:space="0" w:color="FFFFFF"/>
              <w:right w:val="single" w:sz="8" w:space="0" w:color="FFFFFF"/>
            </w:tcBorders>
            <w:shd w:val="clear" w:color="auto" w:fill="DBE5F1"/>
            <w:tcMar>
              <w:top w:w="72" w:type="dxa"/>
              <w:left w:w="144" w:type="dxa"/>
              <w:bottom w:w="72" w:type="dxa"/>
              <w:right w:w="144" w:type="dxa"/>
            </w:tcMar>
            <w:vAlign w:val="center"/>
            <w:hideMark/>
          </w:tcPr>
          <w:p w:rsidR="001A2DFB" w:rsidRPr="001A2DFB" w:rsidRDefault="001A2DFB" w:rsidP="007F683D">
            <w:pPr>
              <w:spacing w:after="0" w:line="240" w:lineRule="auto"/>
              <w:rPr>
                <w:rFonts w:ascii="Calibri" w:eastAsia="Times New Roman" w:hAnsi="Calibri" w:cs="Arial"/>
                <w:szCs w:val="24"/>
              </w:rPr>
            </w:pPr>
          </w:p>
        </w:tc>
        <w:tc>
          <w:tcPr>
            <w:tcW w:w="2937" w:type="dxa"/>
            <w:tcBorders>
              <w:left w:val="single" w:sz="8" w:space="0" w:color="FFFFFF"/>
              <w:right w:val="single" w:sz="8" w:space="0" w:color="FFFFFF"/>
            </w:tcBorders>
            <w:shd w:val="clear" w:color="auto" w:fill="DBE5F1"/>
            <w:tcMar>
              <w:top w:w="72" w:type="dxa"/>
              <w:left w:w="144" w:type="dxa"/>
              <w:bottom w:w="72" w:type="dxa"/>
              <w:right w:w="144" w:type="dxa"/>
            </w:tcMar>
            <w:vAlign w:val="center"/>
            <w:hideMark/>
          </w:tcPr>
          <w:p w:rsidR="001A2DFB" w:rsidRPr="001A2DFB" w:rsidRDefault="001A2DFB" w:rsidP="007F683D">
            <w:pPr>
              <w:spacing w:after="0" w:line="240" w:lineRule="auto"/>
              <w:rPr>
                <w:rFonts w:ascii="Calibri" w:eastAsia="Times New Roman" w:hAnsi="Calibri" w:cs="Arial"/>
                <w:szCs w:val="24"/>
              </w:rPr>
            </w:pPr>
            <w:r w:rsidRPr="001A2DFB">
              <w:rPr>
                <w:rFonts w:ascii="Calibri" w:eastAsia="Times New Roman" w:hAnsi="Calibri" w:cs="Lucida Sans Unicode"/>
                <w:b/>
                <w:bCs/>
                <w:color w:val="A3171E"/>
                <w:kern w:val="24"/>
                <w:szCs w:val="24"/>
              </w:rPr>
              <w:t>Gabriel</w:t>
            </w:r>
          </w:p>
        </w:tc>
      </w:tr>
      <w:tr w:rsidR="001A2DFB" w:rsidRPr="001A2DFB" w:rsidTr="00C53F80">
        <w:trPr>
          <w:trHeight w:val="144"/>
        </w:trPr>
        <w:tc>
          <w:tcPr>
            <w:tcW w:w="2936" w:type="dxa"/>
            <w:tcBorders>
              <w:left w:val="single" w:sz="8" w:space="0" w:color="FFFFFF"/>
              <w:right w:val="single" w:sz="8" w:space="0" w:color="FFFFFF"/>
            </w:tcBorders>
            <w:shd w:val="clear" w:color="auto" w:fill="B8CCE4"/>
            <w:tcMar>
              <w:top w:w="72" w:type="dxa"/>
              <w:left w:w="144" w:type="dxa"/>
              <w:bottom w:w="72" w:type="dxa"/>
              <w:right w:w="144" w:type="dxa"/>
            </w:tcMar>
            <w:vAlign w:val="center"/>
            <w:hideMark/>
          </w:tcPr>
          <w:p w:rsidR="001A2DFB" w:rsidRPr="001A2DFB" w:rsidRDefault="001A2DFB" w:rsidP="007F683D">
            <w:pPr>
              <w:spacing w:after="0" w:line="240" w:lineRule="auto"/>
              <w:rPr>
                <w:rFonts w:ascii="Calibri" w:eastAsia="Times New Roman" w:hAnsi="Calibri" w:cs="Arial"/>
                <w:szCs w:val="24"/>
              </w:rPr>
            </w:pPr>
            <w:r w:rsidRPr="001A2DFB">
              <w:rPr>
                <w:rFonts w:ascii="Calibri" w:eastAsia="Times New Roman" w:hAnsi="Calibri" w:cs="Lucida Sans Unicode"/>
                <w:b/>
                <w:bCs/>
                <w:color w:val="A3171E"/>
                <w:kern w:val="24"/>
                <w:szCs w:val="24"/>
              </w:rPr>
              <w:t>Kaizen</w:t>
            </w:r>
          </w:p>
        </w:tc>
        <w:tc>
          <w:tcPr>
            <w:tcW w:w="2937" w:type="dxa"/>
            <w:tcBorders>
              <w:left w:val="single" w:sz="8" w:space="0" w:color="FFFFFF"/>
              <w:right w:val="single" w:sz="8" w:space="0" w:color="FFFFFF"/>
            </w:tcBorders>
            <w:shd w:val="clear" w:color="auto" w:fill="B8CCE4"/>
            <w:tcMar>
              <w:top w:w="72" w:type="dxa"/>
              <w:left w:w="144" w:type="dxa"/>
              <w:bottom w:w="72" w:type="dxa"/>
              <w:right w:w="144" w:type="dxa"/>
            </w:tcMar>
            <w:vAlign w:val="center"/>
            <w:hideMark/>
          </w:tcPr>
          <w:p w:rsidR="001A2DFB" w:rsidRPr="001A2DFB" w:rsidRDefault="001A2DFB" w:rsidP="007F683D">
            <w:pPr>
              <w:spacing w:after="0" w:line="240" w:lineRule="auto"/>
              <w:rPr>
                <w:rFonts w:ascii="Calibri" w:eastAsia="Times New Roman" w:hAnsi="Calibri" w:cs="Arial"/>
                <w:szCs w:val="24"/>
              </w:rPr>
            </w:pPr>
          </w:p>
        </w:tc>
        <w:tc>
          <w:tcPr>
            <w:tcW w:w="2937" w:type="dxa"/>
            <w:tcBorders>
              <w:left w:val="single" w:sz="8" w:space="0" w:color="FFFFFF"/>
              <w:right w:val="single" w:sz="8" w:space="0" w:color="FFFFFF"/>
            </w:tcBorders>
            <w:shd w:val="clear" w:color="auto" w:fill="B8CCE4"/>
            <w:tcMar>
              <w:top w:w="72" w:type="dxa"/>
              <w:left w:w="144" w:type="dxa"/>
              <w:bottom w:w="72" w:type="dxa"/>
              <w:right w:w="144" w:type="dxa"/>
            </w:tcMar>
            <w:vAlign w:val="center"/>
            <w:hideMark/>
          </w:tcPr>
          <w:p w:rsidR="001A2DFB" w:rsidRPr="001A2DFB" w:rsidRDefault="001A2DFB" w:rsidP="007F683D">
            <w:pPr>
              <w:spacing w:after="0" w:line="240" w:lineRule="auto"/>
              <w:rPr>
                <w:rFonts w:ascii="Calibri" w:eastAsia="Times New Roman" w:hAnsi="Calibri" w:cs="Arial"/>
                <w:szCs w:val="24"/>
              </w:rPr>
            </w:pPr>
            <w:r w:rsidRPr="001A2DFB">
              <w:rPr>
                <w:rFonts w:ascii="Calibri" w:eastAsia="Times New Roman" w:hAnsi="Calibri" w:cs="Lucida Sans Unicode"/>
                <w:b/>
                <w:bCs/>
                <w:color w:val="A3171E"/>
                <w:kern w:val="24"/>
                <w:szCs w:val="24"/>
              </w:rPr>
              <w:t>Herberts</w:t>
            </w:r>
          </w:p>
        </w:tc>
      </w:tr>
      <w:tr w:rsidR="001A2DFB" w:rsidRPr="001A2DFB" w:rsidTr="00C53F80">
        <w:trPr>
          <w:trHeight w:val="144"/>
        </w:trPr>
        <w:tc>
          <w:tcPr>
            <w:tcW w:w="2936" w:type="dxa"/>
            <w:tcBorders>
              <w:left w:val="single" w:sz="8" w:space="0" w:color="FFFFFF"/>
              <w:right w:val="single" w:sz="8" w:space="0" w:color="FFFFFF"/>
            </w:tcBorders>
            <w:shd w:val="clear" w:color="auto" w:fill="DBE5F1"/>
            <w:tcMar>
              <w:top w:w="72" w:type="dxa"/>
              <w:left w:w="144" w:type="dxa"/>
              <w:bottom w:w="72" w:type="dxa"/>
              <w:right w:w="144" w:type="dxa"/>
            </w:tcMar>
            <w:vAlign w:val="center"/>
            <w:hideMark/>
          </w:tcPr>
          <w:p w:rsidR="001A2DFB" w:rsidRPr="001A2DFB" w:rsidRDefault="001A2DFB" w:rsidP="007F683D">
            <w:pPr>
              <w:spacing w:after="0" w:line="240" w:lineRule="auto"/>
              <w:rPr>
                <w:rFonts w:ascii="Calibri" w:eastAsia="Times New Roman" w:hAnsi="Calibri" w:cs="Arial"/>
                <w:szCs w:val="24"/>
              </w:rPr>
            </w:pPr>
            <w:r w:rsidRPr="001A2DFB">
              <w:rPr>
                <w:rFonts w:ascii="Calibri" w:eastAsia="Times New Roman" w:hAnsi="Calibri" w:cs="Lucida Sans Unicode"/>
                <w:b/>
                <w:bCs/>
                <w:color w:val="A3171E"/>
                <w:kern w:val="24"/>
                <w:szCs w:val="24"/>
              </w:rPr>
              <w:t>Speedy</w:t>
            </w:r>
          </w:p>
        </w:tc>
        <w:tc>
          <w:tcPr>
            <w:tcW w:w="2937" w:type="dxa"/>
            <w:tcBorders>
              <w:left w:val="single" w:sz="8" w:space="0" w:color="FFFFFF"/>
              <w:right w:val="single" w:sz="8" w:space="0" w:color="FFFFFF"/>
            </w:tcBorders>
            <w:shd w:val="clear" w:color="auto" w:fill="DBE5F1"/>
            <w:tcMar>
              <w:top w:w="72" w:type="dxa"/>
              <w:left w:w="144" w:type="dxa"/>
              <w:bottom w:w="72" w:type="dxa"/>
              <w:right w:w="144" w:type="dxa"/>
            </w:tcMar>
            <w:vAlign w:val="center"/>
            <w:hideMark/>
          </w:tcPr>
          <w:p w:rsidR="001A2DFB" w:rsidRPr="001A2DFB" w:rsidRDefault="001A2DFB" w:rsidP="007F683D">
            <w:pPr>
              <w:spacing w:after="0" w:line="240" w:lineRule="auto"/>
              <w:rPr>
                <w:rFonts w:ascii="Calibri" w:eastAsia="Times New Roman" w:hAnsi="Calibri" w:cs="Arial"/>
                <w:szCs w:val="24"/>
              </w:rPr>
            </w:pPr>
          </w:p>
        </w:tc>
        <w:tc>
          <w:tcPr>
            <w:tcW w:w="2937" w:type="dxa"/>
            <w:tcBorders>
              <w:left w:val="single" w:sz="8" w:space="0" w:color="FFFFFF"/>
              <w:right w:val="single" w:sz="8" w:space="0" w:color="FFFFFF"/>
            </w:tcBorders>
            <w:shd w:val="clear" w:color="auto" w:fill="DBE5F1"/>
            <w:tcMar>
              <w:top w:w="72" w:type="dxa"/>
              <w:left w:w="144" w:type="dxa"/>
              <w:bottom w:w="72" w:type="dxa"/>
              <w:right w:w="144" w:type="dxa"/>
            </w:tcMar>
            <w:vAlign w:val="center"/>
            <w:hideMark/>
          </w:tcPr>
          <w:p w:rsidR="001A2DFB" w:rsidRPr="001A2DFB" w:rsidRDefault="001A2DFB" w:rsidP="007F683D">
            <w:pPr>
              <w:spacing w:after="0" w:line="240" w:lineRule="auto"/>
              <w:rPr>
                <w:rFonts w:ascii="Calibri" w:eastAsia="Times New Roman" w:hAnsi="Calibri" w:cs="Arial"/>
                <w:szCs w:val="24"/>
              </w:rPr>
            </w:pPr>
            <w:r w:rsidRPr="001A2DFB">
              <w:rPr>
                <w:rFonts w:ascii="Calibri" w:eastAsia="Times New Roman" w:hAnsi="Calibri" w:cs="Lucida Sans Unicode"/>
                <w:b/>
                <w:bCs/>
                <w:color w:val="A3171E"/>
                <w:kern w:val="24"/>
                <w:szCs w:val="24"/>
              </w:rPr>
              <w:t>Birchwood</w:t>
            </w:r>
          </w:p>
        </w:tc>
      </w:tr>
    </w:tbl>
    <w:p w:rsidR="00C8127E" w:rsidRPr="005C4EF2" w:rsidRDefault="00C8127E" w:rsidP="007F683D">
      <w:pPr>
        <w:spacing w:after="0" w:line="240" w:lineRule="auto"/>
        <w:jc w:val="both"/>
        <w:rPr>
          <w:sz w:val="26"/>
          <w:szCs w:val="26"/>
        </w:rPr>
      </w:pPr>
    </w:p>
    <w:p w:rsidR="005C4EF2" w:rsidRPr="005C4EF2" w:rsidRDefault="005C4EF2" w:rsidP="007F683D">
      <w:pPr>
        <w:spacing w:after="0" w:line="240" w:lineRule="auto"/>
        <w:jc w:val="both"/>
        <w:rPr>
          <w:sz w:val="26"/>
          <w:szCs w:val="26"/>
        </w:rPr>
      </w:pPr>
    </w:p>
    <w:p w:rsidR="00D11B42" w:rsidRPr="005C4EF2" w:rsidRDefault="00453B9A" w:rsidP="007F683D">
      <w:pPr>
        <w:spacing w:after="0" w:line="240" w:lineRule="auto"/>
        <w:jc w:val="both"/>
        <w:rPr>
          <w:sz w:val="26"/>
          <w:szCs w:val="26"/>
        </w:rPr>
      </w:pPr>
      <w:r w:rsidRPr="005C4EF2">
        <w:rPr>
          <w:sz w:val="26"/>
          <w:szCs w:val="26"/>
        </w:rPr>
        <w:t>Although the U.S. has seen an increase in co</w:t>
      </w:r>
      <w:r w:rsidR="001A2DFB" w:rsidRPr="005C4EF2">
        <w:rPr>
          <w:sz w:val="26"/>
          <w:szCs w:val="26"/>
        </w:rPr>
        <w:t>nsolidation within the multiple-location operator</w:t>
      </w:r>
      <w:r w:rsidRPr="005C4EF2">
        <w:rPr>
          <w:sz w:val="26"/>
          <w:szCs w:val="26"/>
        </w:rPr>
        <w:t xml:space="preserve"> segments, Canada remains significantly more consolidated in the revenue generated by the combined franchis</w:t>
      </w:r>
      <w:r w:rsidR="0091611F" w:rsidRPr="005C4EF2">
        <w:rPr>
          <w:sz w:val="26"/>
          <w:szCs w:val="26"/>
        </w:rPr>
        <w:t>e and banner and ≥$10 million ML</w:t>
      </w:r>
      <w:r w:rsidRPr="005C4EF2">
        <w:rPr>
          <w:sz w:val="26"/>
          <w:szCs w:val="26"/>
        </w:rPr>
        <w:t>Os</w:t>
      </w:r>
      <w:r w:rsidR="00793F6C" w:rsidRPr="005C4EF2">
        <w:rPr>
          <w:sz w:val="26"/>
          <w:szCs w:val="26"/>
        </w:rPr>
        <w:t>.</w:t>
      </w:r>
      <w:r w:rsidR="001B3E98" w:rsidRPr="005C4EF2">
        <w:rPr>
          <w:sz w:val="26"/>
          <w:szCs w:val="26"/>
        </w:rPr>
        <w:t xml:space="preserve"> I</w:t>
      </w:r>
      <w:r w:rsidRPr="005C4EF2">
        <w:rPr>
          <w:sz w:val="26"/>
          <w:szCs w:val="26"/>
        </w:rPr>
        <w:t>n Canada</w:t>
      </w:r>
      <w:r w:rsidR="001A2DFB" w:rsidRPr="005C4EF2">
        <w:rPr>
          <w:sz w:val="26"/>
          <w:szCs w:val="26"/>
        </w:rPr>
        <w:t>,</w:t>
      </w:r>
      <w:r w:rsidRPr="005C4EF2">
        <w:rPr>
          <w:sz w:val="26"/>
          <w:szCs w:val="26"/>
        </w:rPr>
        <w:t xml:space="preserve"> </w:t>
      </w:r>
      <w:r w:rsidR="001B3E98" w:rsidRPr="005C4EF2">
        <w:rPr>
          <w:sz w:val="26"/>
          <w:szCs w:val="26"/>
        </w:rPr>
        <w:t xml:space="preserve">this combined segment group </w:t>
      </w:r>
      <w:r w:rsidR="001A2DFB" w:rsidRPr="005C4EF2">
        <w:rPr>
          <w:sz w:val="26"/>
          <w:szCs w:val="26"/>
        </w:rPr>
        <w:t xml:space="preserve">represents a </w:t>
      </w:r>
      <w:r w:rsidR="00CD1CF4" w:rsidRPr="005C4EF2">
        <w:rPr>
          <w:sz w:val="26"/>
          <w:szCs w:val="26"/>
        </w:rPr>
        <w:t>71.8</w:t>
      </w:r>
      <w:r w:rsidR="001A2DFB" w:rsidRPr="005C4EF2">
        <w:rPr>
          <w:sz w:val="26"/>
          <w:szCs w:val="26"/>
        </w:rPr>
        <w:t xml:space="preserve"> percent</w:t>
      </w:r>
      <w:r w:rsidRPr="005C4EF2">
        <w:rPr>
          <w:sz w:val="26"/>
          <w:szCs w:val="26"/>
        </w:rPr>
        <w:t xml:space="preserve"> </w:t>
      </w:r>
      <w:r w:rsidR="001B3E98" w:rsidRPr="005C4EF2">
        <w:rPr>
          <w:sz w:val="26"/>
          <w:szCs w:val="26"/>
        </w:rPr>
        <w:t xml:space="preserve">market share </w:t>
      </w:r>
      <w:r w:rsidRPr="005C4EF2">
        <w:rPr>
          <w:sz w:val="26"/>
          <w:szCs w:val="26"/>
        </w:rPr>
        <w:t xml:space="preserve">versus the combined </w:t>
      </w:r>
      <w:r w:rsidR="001A2DFB" w:rsidRPr="005C4EF2">
        <w:rPr>
          <w:sz w:val="26"/>
          <w:szCs w:val="26"/>
        </w:rPr>
        <w:t xml:space="preserve">29.8 percent share for the </w:t>
      </w:r>
      <w:r w:rsidRPr="005C4EF2">
        <w:rPr>
          <w:sz w:val="26"/>
          <w:szCs w:val="26"/>
        </w:rPr>
        <w:t xml:space="preserve">same </w:t>
      </w:r>
      <w:r w:rsidR="001A2DFB" w:rsidRPr="005C4EF2">
        <w:rPr>
          <w:sz w:val="26"/>
          <w:szCs w:val="26"/>
        </w:rPr>
        <w:t xml:space="preserve">U.S. </w:t>
      </w:r>
      <w:r w:rsidRPr="005C4EF2">
        <w:rPr>
          <w:sz w:val="26"/>
          <w:szCs w:val="26"/>
        </w:rPr>
        <w:t xml:space="preserve">segments. </w:t>
      </w:r>
    </w:p>
    <w:p w:rsidR="005C4EF2" w:rsidRPr="005C4EF2" w:rsidRDefault="005C4EF2" w:rsidP="007F683D">
      <w:pPr>
        <w:spacing w:after="0" w:line="240" w:lineRule="auto"/>
        <w:jc w:val="both"/>
        <w:rPr>
          <w:sz w:val="26"/>
          <w:szCs w:val="26"/>
        </w:rPr>
      </w:pPr>
    </w:p>
    <w:p w:rsidR="00793F6C" w:rsidRPr="005C4EF2" w:rsidRDefault="00453B9A" w:rsidP="007F683D">
      <w:pPr>
        <w:spacing w:after="0" w:line="240" w:lineRule="auto"/>
        <w:jc w:val="both"/>
        <w:rPr>
          <w:sz w:val="26"/>
          <w:szCs w:val="26"/>
        </w:rPr>
      </w:pPr>
      <w:r w:rsidRPr="005C4EF2">
        <w:rPr>
          <w:sz w:val="26"/>
          <w:szCs w:val="26"/>
        </w:rPr>
        <w:t xml:space="preserve">The combined </w:t>
      </w:r>
      <w:r w:rsidR="0091611F" w:rsidRPr="005C4EF2">
        <w:rPr>
          <w:sz w:val="26"/>
          <w:szCs w:val="26"/>
        </w:rPr>
        <w:t xml:space="preserve">2015 </w:t>
      </w:r>
      <w:r w:rsidRPr="005C4EF2">
        <w:rPr>
          <w:sz w:val="26"/>
          <w:szCs w:val="26"/>
        </w:rPr>
        <w:t>revenue</w:t>
      </w:r>
      <w:r w:rsidR="001B3E98" w:rsidRPr="005C4EF2">
        <w:rPr>
          <w:sz w:val="26"/>
          <w:szCs w:val="26"/>
        </w:rPr>
        <w:t xml:space="preserve"> for the U.S and Canada</w:t>
      </w:r>
      <w:r w:rsidR="00615121" w:rsidRPr="005C4EF2">
        <w:rPr>
          <w:sz w:val="26"/>
          <w:szCs w:val="26"/>
        </w:rPr>
        <w:t xml:space="preserve"> ≥$20 million MLO and franchise networks</w:t>
      </w:r>
      <w:r w:rsidR="001B3E98" w:rsidRPr="005C4EF2">
        <w:rPr>
          <w:sz w:val="26"/>
          <w:szCs w:val="26"/>
        </w:rPr>
        <w:t xml:space="preserve"> was </w:t>
      </w:r>
      <w:r w:rsidRPr="005C4EF2">
        <w:rPr>
          <w:sz w:val="26"/>
          <w:szCs w:val="26"/>
        </w:rPr>
        <w:t>$11.</w:t>
      </w:r>
      <w:r w:rsidR="00861BE0" w:rsidRPr="005C4EF2">
        <w:rPr>
          <w:sz w:val="26"/>
          <w:szCs w:val="26"/>
        </w:rPr>
        <w:t>8</w:t>
      </w:r>
      <w:r w:rsidRPr="005C4EF2">
        <w:rPr>
          <w:sz w:val="26"/>
          <w:szCs w:val="26"/>
        </w:rPr>
        <w:t xml:space="preserve"> billion </w:t>
      </w:r>
      <w:r w:rsidR="00793F6C" w:rsidRPr="005C4EF2">
        <w:rPr>
          <w:sz w:val="26"/>
          <w:szCs w:val="26"/>
        </w:rPr>
        <w:t>versus $10.8 billion in 2014.</w:t>
      </w:r>
      <w:r w:rsidR="00D11B42" w:rsidRPr="005C4EF2">
        <w:rPr>
          <w:sz w:val="26"/>
          <w:szCs w:val="26"/>
        </w:rPr>
        <w:t xml:space="preserve"> </w:t>
      </w:r>
      <w:r w:rsidR="001A2DFB" w:rsidRPr="005C4EF2">
        <w:rPr>
          <w:sz w:val="26"/>
          <w:szCs w:val="26"/>
        </w:rPr>
        <w:t>This</w:t>
      </w:r>
      <w:r w:rsidRPr="005C4EF2">
        <w:rPr>
          <w:sz w:val="26"/>
          <w:szCs w:val="26"/>
        </w:rPr>
        <w:t xml:space="preserve"> </w:t>
      </w:r>
      <w:r w:rsidR="00D11B42" w:rsidRPr="005C4EF2">
        <w:rPr>
          <w:sz w:val="26"/>
          <w:szCs w:val="26"/>
        </w:rPr>
        <w:t xml:space="preserve">represents </w:t>
      </w:r>
      <w:r w:rsidRPr="005C4EF2">
        <w:rPr>
          <w:sz w:val="26"/>
          <w:szCs w:val="26"/>
        </w:rPr>
        <w:t xml:space="preserve">32.2 percent of total </w:t>
      </w:r>
      <w:r w:rsidR="0091611F" w:rsidRPr="005C4EF2">
        <w:rPr>
          <w:sz w:val="26"/>
          <w:szCs w:val="26"/>
        </w:rPr>
        <w:t>industry</w:t>
      </w:r>
      <w:r w:rsidRPr="005C4EF2">
        <w:rPr>
          <w:sz w:val="26"/>
          <w:szCs w:val="26"/>
        </w:rPr>
        <w:t xml:space="preserve"> revenue for the U.S. and Canada.</w:t>
      </w:r>
      <w:r w:rsidR="0091611F" w:rsidRPr="005C4EF2">
        <w:rPr>
          <w:sz w:val="26"/>
          <w:szCs w:val="26"/>
        </w:rPr>
        <w:t xml:space="preserve"> Within the U.S. market, the ≥$20 million independent and dealer MLO segment is the largest while the </w:t>
      </w:r>
      <w:r w:rsidR="0097008E" w:rsidRPr="005C4EF2">
        <w:rPr>
          <w:sz w:val="26"/>
          <w:szCs w:val="26"/>
        </w:rPr>
        <w:t>franchise</w:t>
      </w:r>
      <w:r w:rsidR="0091611F" w:rsidRPr="005C4EF2">
        <w:rPr>
          <w:sz w:val="26"/>
          <w:szCs w:val="26"/>
        </w:rPr>
        <w:t xml:space="preserve"> and banner </w:t>
      </w:r>
      <w:r w:rsidR="003B3BCD" w:rsidRPr="005C4EF2">
        <w:rPr>
          <w:sz w:val="26"/>
          <w:szCs w:val="26"/>
        </w:rPr>
        <w:t xml:space="preserve">network MLOs remain </w:t>
      </w:r>
      <w:r w:rsidR="0091611F" w:rsidRPr="005C4EF2">
        <w:rPr>
          <w:sz w:val="26"/>
          <w:szCs w:val="26"/>
        </w:rPr>
        <w:t>the dominate business model in Canada.</w:t>
      </w:r>
      <w:r w:rsidR="00D11B42" w:rsidRPr="005C4EF2">
        <w:rPr>
          <w:sz w:val="26"/>
          <w:szCs w:val="26"/>
        </w:rPr>
        <w:t xml:space="preserve"> </w:t>
      </w:r>
    </w:p>
    <w:p w:rsidR="005C4EF2" w:rsidRDefault="005C4EF2">
      <w:pPr>
        <w:rPr>
          <w:sz w:val="26"/>
          <w:szCs w:val="26"/>
        </w:rPr>
      </w:pPr>
      <w:r>
        <w:rPr>
          <w:sz w:val="26"/>
          <w:szCs w:val="26"/>
        </w:rPr>
        <w:br w:type="page"/>
      </w:r>
    </w:p>
    <w:p w:rsidR="007F683D" w:rsidRDefault="007F683D" w:rsidP="007F683D">
      <w:pPr>
        <w:spacing w:after="0" w:line="240" w:lineRule="auto"/>
        <w:jc w:val="both"/>
        <w:rPr>
          <w:sz w:val="26"/>
          <w:szCs w:val="26"/>
        </w:rPr>
      </w:pPr>
    </w:p>
    <w:p w:rsidR="00CF603B" w:rsidRPr="005C4EF2" w:rsidRDefault="00CF603B" w:rsidP="007F683D">
      <w:pPr>
        <w:spacing w:after="0" w:line="240" w:lineRule="auto"/>
        <w:jc w:val="both"/>
        <w:rPr>
          <w:sz w:val="26"/>
          <w:szCs w:val="26"/>
        </w:rPr>
      </w:pPr>
      <w:bookmarkStart w:id="0" w:name="_GoBack"/>
      <w:bookmarkEnd w:id="0"/>
    </w:p>
    <w:tbl>
      <w:tblPr>
        <w:tblpPr w:leftFromText="180" w:rightFromText="180" w:vertAnchor="text" w:horzAnchor="margin" w:tblpXSpec="center" w:tblpY="48"/>
        <w:tblW w:w="8457" w:type="dxa"/>
        <w:tblCellMar>
          <w:left w:w="0" w:type="dxa"/>
          <w:right w:w="0" w:type="dxa"/>
        </w:tblCellMar>
        <w:tblLook w:val="06A0" w:firstRow="1" w:lastRow="0" w:firstColumn="1" w:lastColumn="0" w:noHBand="1" w:noVBand="1"/>
      </w:tblPr>
      <w:tblGrid>
        <w:gridCol w:w="3317"/>
        <w:gridCol w:w="2163"/>
        <w:gridCol w:w="2977"/>
      </w:tblGrid>
      <w:tr w:rsidR="001A2DFB" w:rsidRPr="001A2DFB" w:rsidTr="00C53F80">
        <w:trPr>
          <w:trHeight w:val="138"/>
        </w:trPr>
        <w:tc>
          <w:tcPr>
            <w:tcW w:w="8457" w:type="dxa"/>
            <w:gridSpan w:val="3"/>
            <w:tcBorders>
              <w:top w:val="single" w:sz="8" w:space="0" w:color="FFFFFF"/>
              <w:left w:val="single" w:sz="8" w:space="0" w:color="FFFFFF"/>
              <w:bottom w:val="single" w:sz="8" w:space="0" w:color="FFFFFF" w:themeColor="background1"/>
              <w:right w:val="single" w:sz="8" w:space="0" w:color="FFFFFF"/>
            </w:tcBorders>
            <w:shd w:val="clear" w:color="auto" w:fill="4F81BD"/>
            <w:tcMar>
              <w:top w:w="72" w:type="dxa"/>
              <w:left w:w="144" w:type="dxa"/>
              <w:bottom w:w="72" w:type="dxa"/>
              <w:right w:w="144" w:type="dxa"/>
            </w:tcMar>
            <w:hideMark/>
          </w:tcPr>
          <w:p w:rsidR="001A2DFB" w:rsidRPr="001A2DFB" w:rsidRDefault="001A2DFB" w:rsidP="007F683D">
            <w:pPr>
              <w:spacing w:after="0" w:line="240" w:lineRule="auto"/>
              <w:jc w:val="center"/>
              <w:rPr>
                <w:rFonts w:ascii="Lucida Sans Unicode" w:eastAsia="Times New Roman" w:hAnsi="Lucida Sans Unicode" w:cs="Lucida Sans Unicode"/>
                <w:b/>
                <w:bCs/>
                <w:color w:val="FFFFFF"/>
                <w:kern w:val="24"/>
                <w:sz w:val="24"/>
                <w:szCs w:val="24"/>
              </w:rPr>
            </w:pPr>
            <w:r w:rsidRPr="001A2DFB">
              <w:rPr>
                <w:rFonts w:ascii="Lucida Sans Unicode" w:eastAsia="Times New Roman" w:hAnsi="Lucida Sans Unicode" w:cs="Lucida Sans Unicode"/>
                <w:b/>
                <w:bCs/>
                <w:color w:val="FFFFFF"/>
                <w:kern w:val="24"/>
                <w:sz w:val="24"/>
                <w:szCs w:val="24"/>
              </w:rPr>
              <w:t>U.S. &amp; Canada - 2015 Top 10 Revenue Consolidated</w:t>
            </w:r>
          </w:p>
        </w:tc>
      </w:tr>
      <w:tr w:rsidR="007F683D" w:rsidRPr="001A2DFB" w:rsidTr="00C53F80">
        <w:trPr>
          <w:trHeight w:val="138"/>
        </w:trPr>
        <w:tc>
          <w:tcPr>
            <w:tcW w:w="3317" w:type="dxa"/>
            <w:tcBorders>
              <w:top w:val="single" w:sz="8" w:space="0" w:color="FFFFFF" w:themeColor="background1"/>
              <w:bottom w:val="single" w:sz="8" w:space="0" w:color="FFFFFF" w:themeColor="background1"/>
              <w:right w:val="single" w:sz="8" w:space="0" w:color="FFFFFF" w:themeColor="background1"/>
            </w:tcBorders>
            <w:shd w:val="clear" w:color="auto" w:fill="4F81BD"/>
            <w:tcMar>
              <w:top w:w="72" w:type="dxa"/>
              <w:left w:w="144" w:type="dxa"/>
              <w:bottom w:w="72" w:type="dxa"/>
              <w:right w:w="144" w:type="dxa"/>
            </w:tcMar>
            <w:vAlign w:val="center"/>
            <w:hideMark/>
          </w:tcPr>
          <w:p w:rsidR="001A2DFB" w:rsidRPr="001A2DFB" w:rsidRDefault="001A2DFB" w:rsidP="007F683D">
            <w:pPr>
              <w:spacing w:after="0" w:line="240" w:lineRule="auto"/>
              <w:jc w:val="center"/>
              <w:rPr>
                <w:rFonts w:ascii="Arial" w:eastAsia="Times New Roman" w:hAnsi="Arial" w:cs="Arial"/>
                <w:szCs w:val="24"/>
              </w:rPr>
            </w:pPr>
            <w:r w:rsidRPr="001A2DFB">
              <w:rPr>
                <w:rFonts w:ascii="Lucida Sans Unicode" w:eastAsia="Times New Roman" w:hAnsi="Lucida Sans Unicode" w:cs="Lucida Sans Unicode"/>
                <w:b/>
                <w:bCs/>
                <w:color w:val="FFFFFF"/>
                <w:kern w:val="24"/>
                <w:szCs w:val="24"/>
              </w:rPr>
              <w:t>Repairers</w:t>
            </w:r>
          </w:p>
        </w:tc>
        <w:tc>
          <w:tcPr>
            <w:tcW w:w="216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4F81BD"/>
            <w:tcMar>
              <w:top w:w="72" w:type="dxa"/>
              <w:left w:w="144" w:type="dxa"/>
              <w:bottom w:w="72" w:type="dxa"/>
              <w:right w:w="144" w:type="dxa"/>
            </w:tcMar>
            <w:vAlign w:val="center"/>
            <w:hideMark/>
          </w:tcPr>
          <w:p w:rsidR="001A2DFB" w:rsidRPr="001A2DFB" w:rsidRDefault="001A2DFB" w:rsidP="007F683D">
            <w:pPr>
              <w:spacing w:after="0" w:line="240" w:lineRule="auto"/>
              <w:jc w:val="center"/>
              <w:rPr>
                <w:rFonts w:ascii="Lucida Sans Unicode" w:eastAsia="Times New Roman" w:hAnsi="Lucida Sans Unicode" w:cs="Lucida Sans Unicode"/>
                <w:b/>
                <w:color w:val="FFFFFF"/>
                <w:szCs w:val="24"/>
              </w:rPr>
            </w:pPr>
            <w:r w:rsidRPr="001A2DFB">
              <w:rPr>
                <w:rFonts w:ascii="Lucida Sans Unicode" w:eastAsia="Times New Roman" w:hAnsi="Lucida Sans Unicode" w:cs="Lucida Sans Unicode"/>
                <w:b/>
                <w:color w:val="FFFFFF"/>
                <w:szCs w:val="24"/>
              </w:rPr>
              <w:t>Location</w:t>
            </w:r>
          </w:p>
        </w:tc>
        <w:tc>
          <w:tcPr>
            <w:tcW w:w="2975" w:type="dxa"/>
            <w:tcBorders>
              <w:top w:val="single" w:sz="8" w:space="0" w:color="FFFFFF" w:themeColor="background1"/>
              <w:left w:val="single" w:sz="8" w:space="0" w:color="FFFFFF" w:themeColor="background1"/>
              <w:bottom w:val="single" w:sz="8" w:space="0" w:color="FFFFFF" w:themeColor="background1"/>
            </w:tcBorders>
            <w:shd w:val="clear" w:color="auto" w:fill="4F81BD"/>
            <w:tcMar>
              <w:top w:w="72" w:type="dxa"/>
              <w:left w:w="144" w:type="dxa"/>
              <w:bottom w:w="72" w:type="dxa"/>
              <w:right w:w="144" w:type="dxa"/>
            </w:tcMar>
            <w:vAlign w:val="center"/>
            <w:hideMark/>
          </w:tcPr>
          <w:p w:rsidR="001A2DFB" w:rsidRPr="001A2DFB" w:rsidRDefault="001A2DFB" w:rsidP="007F683D">
            <w:pPr>
              <w:spacing w:after="0" w:line="240" w:lineRule="auto"/>
              <w:jc w:val="center"/>
              <w:rPr>
                <w:rFonts w:ascii="Arial" w:eastAsia="Times New Roman" w:hAnsi="Arial" w:cs="Arial"/>
                <w:szCs w:val="24"/>
              </w:rPr>
            </w:pPr>
            <w:r w:rsidRPr="001A2DFB">
              <w:rPr>
                <w:rFonts w:ascii="Lucida Sans Unicode" w:eastAsia="Times New Roman" w:hAnsi="Lucida Sans Unicode" w:cs="Lucida Sans Unicode"/>
                <w:b/>
                <w:bCs/>
                <w:color w:val="FFFFFF"/>
                <w:kern w:val="24"/>
                <w:szCs w:val="24"/>
              </w:rPr>
              <w:t>Type</w:t>
            </w:r>
          </w:p>
        </w:tc>
      </w:tr>
      <w:tr w:rsidR="00C53F80" w:rsidRPr="001A2DFB" w:rsidTr="00386EA2">
        <w:tc>
          <w:tcPr>
            <w:tcW w:w="3317" w:type="dxa"/>
            <w:tcBorders>
              <w:top w:val="single" w:sz="8" w:space="0" w:color="FFFFFF" w:themeColor="background1"/>
              <w:right w:val="single" w:sz="8" w:space="0" w:color="FFFFFF" w:themeColor="background1"/>
            </w:tcBorders>
            <w:shd w:val="clear" w:color="auto" w:fill="DBE5F1"/>
            <w:tcMar>
              <w:top w:w="72" w:type="dxa"/>
              <w:left w:w="144" w:type="dxa"/>
              <w:bottom w:w="72" w:type="dxa"/>
              <w:right w:w="144" w:type="dxa"/>
            </w:tcMar>
            <w:hideMark/>
          </w:tcPr>
          <w:p w:rsidR="001A2DFB" w:rsidRPr="001A2DFB" w:rsidRDefault="001A2DFB" w:rsidP="007F683D">
            <w:pPr>
              <w:spacing w:after="0" w:line="240" w:lineRule="auto"/>
              <w:jc w:val="both"/>
              <w:rPr>
                <w:rFonts w:ascii="Lucida Sans Unicode" w:eastAsia="Times New Roman" w:hAnsi="Lucida Sans Unicode" w:cs="Lucida Sans Unicode"/>
                <w:b/>
                <w:color w:val="184884"/>
                <w:sz w:val="20"/>
                <w:szCs w:val="20"/>
              </w:rPr>
            </w:pPr>
            <w:r w:rsidRPr="001A2DFB">
              <w:rPr>
                <w:rFonts w:ascii="Lucida Sans Unicode" w:eastAsia="Times New Roman" w:hAnsi="Lucida Sans Unicode" w:cs="Lucida Sans Unicode"/>
                <w:b/>
                <w:bCs/>
                <w:color w:val="184884"/>
                <w:kern w:val="24"/>
                <w:sz w:val="20"/>
                <w:szCs w:val="20"/>
              </w:rPr>
              <w:t>Caliber Collision</w:t>
            </w:r>
          </w:p>
        </w:tc>
        <w:tc>
          <w:tcPr>
            <w:tcW w:w="2163" w:type="dxa"/>
            <w:tcBorders>
              <w:top w:val="single" w:sz="8" w:space="0" w:color="FFFFFF" w:themeColor="background1"/>
              <w:left w:val="single" w:sz="8" w:space="0" w:color="FFFFFF" w:themeColor="background1"/>
              <w:right w:val="single" w:sz="8" w:space="0" w:color="FFFFFF" w:themeColor="background1"/>
            </w:tcBorders>
            <w:shd w:val="clear" w:color="auto" w:fill="DBE5F1"/>
            <w:tcMar>
              <w:top w:w="72" w:type="dxa"/>
              <w:left w:w="144" w:type="dxa"/>
              <w:bottom w:w="72" w:type="dxa"/>
              <w:right w:w="144" w:type="dxa"/>
            </w:tcMar>
            <w:hideMark/>
          </w:tcPr>
          <w:p w:rsidR="001A2DFB" w:rsidRPr="001A2DFB" w:rsidRDefault="001A2DFB" w:rsidP="007F683D">
            <w:pPr>
              <w:spacing w:after="0" w:line="240" w:lineRule="auto"/>
              <w:jc w:val="center"/>
              <w:rPr>
                <w:rFonts w:ascii="Arial" w:eastAsia="Times New Roman" w:hAnsi="Arial" w:cs="Arial"/>
                <w:b/>
                <w:color w:val="943634"/>
                <w:sz w:val="20"/>
                <w:szCs w:val="20"/>
              </w:rPr>
            </w:pPr>
            <w:r w:rsidRPr="001A2DFB">
              <w:rPr>
                <w:rFonts w:ascii="Lucida Sans Unicode" w:eastAsia="Times New Roman" w:hAnsi="Lucida Sans Unicode" w:cs="Lucida Sans Unicode"/>
                <w:b/>
                <w:bCs/>
                <w:color w:val="943634"/>
                <w:kern w:val="24"/>
                <w:sz w:val="20"/>
                <w:szCs w:val="20"/>
              </w:rPr>
              <w:t>US</w:t>
            </w:r>
          </w:p>
        </w:tc>
        <w:tc>
          <w:tcPr>
            <w:tcW w:w="2975" w:type="dxa"/>
            <w:tcBorders>
              <w:top w:val="single" w:sz="8" w:space="0" w:color="FFFFFF" w:themeColor="background1"/>
              <w:left w:val="single" w:sz="8" w:space="0" w:color="FFFFFF" w:themeColor="background1"/>
            </w:tcBorders>
            <w:shd w:val="clear" w:color="auto" w:fill="DBE5F1"/>
            <w:tcMar>
              <w:top w:w="72" w:type="dxa"/>
              <w:left w:w="144" w:type="dxa"/>
              <w:bottom w:w="72" w:type="dxa"/>
              <w:right w:w="144" w:type="dxa"/>
            </w:tcMar>
            <w:hideMark/>
          </w:tcPr>
          <w:p w:rsidR="001A2DFB" w:rsidRPr="001A2DFB" w:rsidRDefault="001A2DFB" w:rsidP="007F683D">
            <w:pPr>
              <w:spacing w:after="0" w:line="240" w:lineRule="auto"/>
              <w:jc w:val="center"/>
              <w:rPr>
                <w:rFonts w:ascii="Arial" w:eastAsia="Times New Roman" w:hAnsi="Arial" w:cs="Arial"/>
                <w:color w:val="184884"/>
                <w:sz w:val="20"/>
                <w:szCs w:val="20"/>
              </w:rPr>
            </w:pPr>
            <w:r w:rsidRPr="001A2DFB">
              <w:rPr>
                <w:rFonts w:ascii="Lucida Sans Unicode" w:eastAsia="Times New Roman" w:hAnsi="Lucida Sans Unicode" w:cs="Lucida Sans Unicode"/>
                <w:b/>
                <w:bCs/>
                <w:color w:val="184884"/>
                <w:kern w:val="24"/>
                <w:sz w:val="20"/>
                <w:szCs w:val="20"/>
              </w:rPr>
              <w:t>Independent</w:t>
            </w:r>
          </w:p>
        </w:tc>
      </w:tr>
      <w:tr w:rsidR="00C53F80" w:rsidRPr="001A2DFB" w:rsidTr="00386EA2">
        <w:tc>
          <w:tcPr>
            <w:tcW w:w="3317" w:type="dxa"/>
            <w:tcBorders>
              <w:right w:val="single" w:sz="8" w:space="0" w:color="FFFFFF" w:themeColor="background1"/>
            </w:tcBorders>
            <w:shd w:val="clear" w:color="auto" w:fill="B8CCE4"/>
            <w:tcMar>
              <w:top w:w="72" w:type="dxa"/>
              <w:left w:w="144" w:type="dxa"/>
              <w:bottom w:w="72" w:type="dxa"/>
              <w:right w:w="144" w:type="dxa"/>
            </w:tcMar>
            <w:hideMark/>
          </w:tcPr>
          <w:p w:rsidR="001A2DFB" w:rsidRPr="001A2DFB" w:rsidRDefault="001A2DFB" w:rsidP="007F683D">
            <w:pPr>
              <w:spacing w:after="0" w:line="240" w:lineRule="auto"/>
              <w:jc w:val="both"/>
              <w:rPr>
                <w:rFonts w:ascii="Arial" w:eastAsia="Times New Roman" w:hAnsi="Arial" w:cs="Arial"/>
                <w:color w:val="184884"/>
                <w:sz w:val="20"/>
                <w:szCs w:val="20"/>
              </w:rPr>
            </w:pPr>
            <w:r w:rsidRPr="001A2DFB">
              <w:rPr>
                <w:rFonts w:ascii="Lucida Sans Unicode" w:eastAsia="Times New Roman" w:hAnsi="Lucida Sans Unicode" w:cs="Lucida Sans Unicode"/>
                <w:b/>
                <w:bCs/>
                <w:color w:val="184884"/>
                <w:kern w:val="24"/>
                <w:sz w:val="20"/>
                <w:szCs w:val="20"/>
              </w:rPr>
              <w:t xml:space="preserve">Service King </w:t>
            </w:r>
          </w:p>
        </w:tc>
        <w:tc>
          <w:tcPr>
            <w:tcW w:w="2163" w:type="dxa"/>
            <w:tcBorders>
              <w:left w:val="single" w:sz="8" w:space="0" w:color="FFFFFF" w:themeColor="background1"/>
              <w:right w:val="single" w:sz="8" w:space="0" w:color="FFFFFF" w:themeColor="background1"/>
            </w:tcBorders>
            <w:shd w:val="clear" w:color="auto" w:fill="B8CCE4"/>
            <w:tcMar>
              <w:top w:w="72" w:type="dxa"/>
              <w:left w:w="144" w:type="dxa"/>
              <w:bottom w:w="72" w:type="dxa"/>
              <w:right w:w="144" w:type="dxa"/>
            </w:tcMar>
            <w:hideMark/>
          </w:tcPr>
          <w:p w:rsidR="001A2DFB" w:rsidRPr="001A2DFB" w:rsidRDefault="001A2DFB" w:rsidP="007F683D">
            <w:pPr>
              <w:spacing w:after="0" w:line="240" w:lineRule="auto"/>
              <w:jc w:val="center"/>
              <w:rPr>
                <w:rFonts w:ascii="Arial" w:eastAsia="Times New Roman" w:hAnsi="Arial" w:cs="Arial"/>
                <w:b/>
                <w:color w:val="943634"/>
                <w:sz w:val="20"/>
                <w:szCs w:val="20"/>
              </w:rPr>
            </w:pPr>
            <w:r w:rsidRPr="001A2DFB">
              <w:rPr>
                <w:rFonts w:ascii="Lucida Sans Unicode" w:eastAsia="Times New Roman" w:hAnsi="Lucida Sans Unicode" w:cs="Lucida Sans Unicode"/>
                <w:b/>
                <w:bCs/>
                <w:color w:val="943634"/>
                <w:kern w:val="24"/>
                <w:sz w:val="20"/>
                <w:szCs w:val="20"/>
              </w:rPr>
              <w:t>US</w:t>
            </w:r>
          </w:p>
        </w:tc>
        <w:tc>
          <w:tcPr>
            <w:tcW w:w="2975" w:type="dxa"/>
            <w:tcBorders>
              <w:left w:val="single" w:sz="8" w:space="0" w:color="FFFFFF" w:themeColor="background1"/>
            </w:tcBorders>
            <w:shd w:val="clear" w:color="auto" w:fill="B8CCE4"/>
            <w:tcMar>
              <w:top w:w="72" w:type="dxa"/>
              <w:left w:w="144" w:type="dxa"/>
              <w:bottom w:w="72" w:type="dxa"/>
              <w:right w:w="144" w:type="dxa"/>
            </w:tcMar>
            <w:hideMark/>
          </w:tcPr>
          <w:p w:rsidR="001A2DFB" w:rsidRPr="001A2DFB" w:rsidRDefault="001A2DFB" w:rsidP="007F683D">
            <w:pPr>
              <w:spacing w:after="0" w:line="240" w:lineRule="auto"/>
              <w:jc w:val="center"/>
              <w:rPr>
                <w:rFonts w:ascii="Arial" w:eastAsia="Times New Roman" w:hAnsi="Arial" w:cs="Arial"/>
                <w:color w:val="184884"/>
                <w:sz w:val="20"/>
                <w:szCs w:val="20"/>
              </w:rPr>
            </w:pPr>
            <w:r w:rsidRPr="001A2DFB">
              <w:rPr>
                <w:rFonts w:ascii="Lucida Sans Unicode" w:eastAsia="Times New Roman" w:hAnsi="Lucida Sans Unicode" w:cs="Lucida Sans Unicode"/>
                <w:b/>
                <w:bCs/>
                <w:color w:val="184884"/>
                <w:kern w:val="24"/>
                <w:sz w:val="20"/>
                <w:szCs w:val="20"/>
              </w:rPr>
              <w:t>Independent</w:t>
            </w:r>
          </w:p>
        </w:tc>
      </w:tr>
      <w:tr w:rsidR="00C53F80" w:rsidRPr="001A2DFB" w:rsidTr="00386EA2">
        <w:tc>
          <w:tcPr>
            <w:tcW w:w="3317" w:type="dxa"/>
            <w:tcBorders>
              <w:right w:val="single" w:sz="8" w:space="0" w:color="FFFFFF" w:themeColor="background1"/>
            </w:tcBorders>
            <w:shd w:val="clear" w:color="auto" w:fill="DBE5F1"/>
            <w:tcMar>
              <w:top w:w="72" w:type="dxa"/>
              <w:left w:w="144" w:type="dxa"/>
              <w:bottom w:w="72" w:type="dxa"/>
              <w:right w:w="144" w:type="dxa"/>
            </w:tcMar>
            <w:hideMark/>
          </w:tcPr>
          <w:p w:rsidR="001A2DFB" w:rsidRPr="001A2DFB" w:rsidRDefault="001A2DFB" w:rsidP="007F683D">
            <w:pPr>
              <w:spacing w:after="0" w:line="240" w:lineRule="auto"/>
              <w:jc w:val="both"/>
              <w:rPr>
                <w:rFonts w:ascii="Lucida Sans Unicode" w:eastAsia="Times New Roman" w:hAnsi="Lucida Sans Unicode" w:cs="Lucida Sans Unicode"/>
                <w:b/>
                <w:color w:val="184884"/>
                <w:sz w:val="20"/>
                <w:szCs w:val="20"/>
              </w:rPr>
            </w:pPr>
            <w:r w:rsidRPr="001A2DFB">
              <w:rPr>
                <w:rFonts w:ascii="Lucida Sans Unicode" w:eastAsia="Times New Roman" w:hAnsi="Lucida Sans Unicode" w:cs="Lucida Sans Unicode"/>
                <w:b/>
                <w:bCs/>
                <w:color w:val="184884"/>
                <w:kern w:val="24"/>
                <w:sz w:val="20"/>
                <w:szCs w:val="20"/>
              </w:rPr>
              <w:t>Boyd/Gerber</w:t>
            </w:r>
          </w:p>
        </w:tc>
        <w:tc>
          <w:tcPr>
            <w:tcW w:w="2163" w:type="dxa"/>
            <w:tcBorders>
              <w:left w:val="single" w:sz="8" w:space="0" w:color="FFFFFF" w:themeColor="background1"/>
              <w:right w:val="single" w:sz="8" w:space="0" w:color="FFFFFF" w:themeColor="background1"/>
            </w:tcBorders>
            <w:shd w:val="clear" w:color="auto" w:fill="DBE5F1"/>
            <w:tcMar>
              <w:top w:w="72" w:type="dxa"/>
              <w:left w:w="144" w:type="dxa"/>
              <w:bottom w:w="72" w:type="dxa"/>
              <w:right w:w="144" w:type="dxa"/>
            </w:tcMar>
            <w:hideMark/>
          </w:tcPr>
          <w:p w:rsidR="001A2DFB" w:rsidRPr="001A2DFB" w:rsidRDefault="001A2DFB" w:rsidP="007F683D">
            <w:pPr>
              <w:spacing w:after="0" w:line="240" w:lineRule="auto"/>
              <w:jc w:val="center"/>
              <w:rPr>
                <w:rFonts w:ascii="Lucida Sans Unicode" w:eastAsia="Times New Roman" w:hAnsi="Lucida Sans Unicode" w:cs="Lucida Sans Unicode"/>
                <w:b/>
                <w:color w:val="943634"/>
                <w:sz w:val="20"/>
                <w:szCs w:val="20"/>
              </w:rPr>
            </w:pPr>
            <w:r w:rsidRPr="001A2DFB">
              <w:rPr>
                <w:rFonts w:ascii="Lucida Sans Unicode" w:eastAsia="Times New Roman" w:hAnsi="Lucida Sans Unicode" w:cs="Lucida Sans Unicode"/>
                <w:b/>
                <w:bCs/>
                <w:color w:val="943634"/>
                <w:kern w:val="24"/>
                <w:sz w:val="20"/>
                <w:szCs w:val="20"/>
              </w:rPr>
              <w:t>US – CA</w:t>
            </w:r>
            <w:r w:rsidR="00656AE6">
              <w:rPr>
                <w:rFonts w:ascii="Lucida Sans Unicode" w:eastAsia="Times New Roman" w:hAnsi="Lucida Sans Unicode" w:cs="Lucida Sans Unicode"/>
                <w:b/>
                <w:bCs/>
                <w:color w:val="943634"/>
                <w:kern w:val="24"/>
                <w:sz w:val="20"/>
                <w:szCs w:val="20"/>
              </w:rPr>
              <w:t>N</w:t>
            </w:r>
          </w:p>
        </w:tc>
        <w:tc>
          <w:tcPr>
            <w:tcW w:w="2975" w:type="dxa"/>
            <w:tcBorders>
              <w:left w:val="single" w:sz="8" w:space="0" w:color="FFFFFF" w:themeColor="background1"/>
            </w:tcBorders>
            <w:shd w:val="clear" w:color="auto" w:fill="DBE5F1"/>
            <w:tcMar>
              <w:top w:w="72" w:type="dxa"/>
              <w:left w:w="144" w:type="dxa"/>
              <w:bottom w:w="72" w:type="dxa"/>
              <w:right w:w="144" w:type="dxa"/>
            </w:tcMar>
            <w:hideMark/>
          </w:tcPr>
          <w:p w:rsidR="001A2DFB" w:rsidRPr="001A2DFB" w:rsidRDefault="001A2DFB" w:rsidP="007F683D">
            <w:pPr>
              <w:spacing w:after="0" w:line="240" w:lineRule="auto"/>
              <w:jc w:val="center"/>
              <w:rPr>
                <w:rFonts w:ascii="Arial" w:eastAsia="Times New Roman" w:hAnsi="Arial" w:cs="Arial"/>
                <w:color w:val="184884"/>
                <w:sz w:val="20"/>
                <w:szCs w:val="20"/>
              </w:rPr>
            </w:pPr>
            <w:r w:rsidRPr="001A2DFB">
              <w:rPr>
                <w:rFonts w:ascii="Lucida Sans Unicode" w:eastAsia="Times New Roman" w:hAnsi="Lucida Sans Unicode" w:cs="Lucida Sans Unicode"/>
                <w:b/>
                <w:bCs/>
                <w:color w:val="184884"/>
                <w:kern w:val="24"/>
                <w:sz w:val="20"/>
                <w:szCs w:val="20"/>
              </w:rPr>
              <w:t>Independent</w:t>
            </w:r>
          </w:p>
        </w:tc>
      </w:tr>
      <w:tr w:rsidR="00C53F80" w:rsidRPr="001A2DFB" w:rsidTr="00386EA2">
        <w:tc>
          <w:tcPr>
            <w:tcW w:w="3317" w:type="dxa"/>
            <w:tcBorders>
              <w:right w:val="single" w:sz="8" w:space="0" w:color="FFFFFF" w:themeColor="background1"/>
            </w:tcBorders>
            <w:shd w:val="clear" w:color="auto" w:fill="B8CCE4"/>
            <w:tcMar>
              <w:top w:w="72" w:type="dxa"/>
              <w:left w:w="144" w:type="dxa"/>
              <w:bottom w:w="72" w:type="dxa"/>
              <w:right w:w="144" w:type="dxa"/>
            </w:tcMar>
            <w:hideMark/>
          </w:tcPr>
          <w:p w:rsidR="001A2DFB" w:rsidRPr="001A2DFB" w:rsidRDefault="001A2DFB" w:rsidP="007F683D">
            <w:pPr>
              <w:spacing w:after="0" w:line="240" w:lineRule="auto"/>
              <w:jc w:val="both"/>
              <w:rPr>
                <w:rFonts w:ascii="Arial" w:eastAsia="Times New Roman" w:hAnsi="Arial" w:cs="Arial"/>
                <w:color w:val="184884"/>
                <w:sz w:val="20"/>
                <w:szCs w:val="20"/>
              </w:rPr>
            </w:pPr>
            <w:r w:rsidRPr="001A2DFB">
              <w:rPr>
                <w:rFonts w:ascii="Lucida Sans Unicode" w:eastAsia="Times New Roman" w:hAnsi="Lucida Sans Unicode" w:cs="Lucida Sans Unicode"/>
                <w:b/>
                <w:bCs/>
                <w:color w:val="184884"/>
                <w:kern w:val="24"/>
                <w:sz w:val="20"/>
                <w:szCs w:val="20"/>
              </w:rPr>
              <w:t>ABRA</w:t>
            </w:r>
          </w:p>
        </w:tc>
        <w:tc>
          <w:tcPr>
            <w:tcW w:w="2163" w:type="dxa"/>
            <w:tcBorders>
              <w:left w:val="single" w:sz="8" w:space="0" w:color="FFFFFF" w:themeColor="background1"/>
              <w:right w:val="single" w:sz="8" w:space="0" w:color="FFFFFF" w:themeColor="background1"/>
            </w:tcBorders>
            <w:shd w:val="clear" w:color="auto" w:fill="B8CCE4"/>
            <w:tcMar>
              <w:top w:w="72" w:type="dxa"/>
              <w:left w:w="144" w:type="dxa"/>
              <w:bottom w:w="72" w:type="dxa"/>
              <w:right w:w="144" w:type="dxa"/>
            </w:tcMar>
            <w:hideMark/>
          </w:tcPr>
          <w:p w:rsidR="001A2DFB" w:rsidRPr="001A2DFB" w:rsidRDefault="001A2DFB" w:rsidP="007F683D">
            <w:pPr>
              <w:spacing w:after="0" w:line="240" w:lineRule="auto"/>
              <w:jc w:val="center"/>
              <w:rPr>
                <w:rFonts w:ascii="Arial" w:eastAsia="Times New Roman" w:hAnsi="Arial" w:cs="Arial"/>
                <w:b/>
                <w:color w:val="943634"/>
                <w:sz w:val="20"/>
                <w:szCs w:val="20"/>
              </w:rPr>
            </w:pPr>
            <w:r w:rsidRPr="001A2DFB">
              <w:rPr>
                <w:rFonts w:ascii="Lucida Sans Unicode" w:eastAsia="Times New Roman" w:hAnsi="Lucida Sans Unicode" w:cs="Lucida Sans Unicode"/>
                <w:b/>
                <w:bCs/>
                <w:color w:val="943634"/>
                <w:kern w:val="24"/>
                <w:sz w:val="20"/>
                <w:szCs w:val="20"/>
              </w:rPr>
              <w:t>US</w:t>
            </w:r>
          </w:p>
        </w:tc>
        <w:tc>
          <w:tcPr>
            <w:tcW w:w="2975" w:type="dxa"/>
            <w:tcBorders>
              <w:left w:val="single" w:sz="8" w:space="0" w:color="FFFFFF" w:themeColor="background1"/>
            </w:tcBorders>
            <w:shd w:val="clear" w:color="auto" w:fill="B8CCE4"/>
            <w:tcMar>
              <w:top w:w="72" w:type="dxa"/>
              <w:left w:w="144" w:type="dxa"/>
              <w:bottom w:w="72" w:type="dxa"/>
              <w:right w:w="144" w:type="dxa"/>
            </w:tcMar>
            <w:hideMark/>
          </w:tcPr>
          <w:p w:rsidR="001A2DFB" w:rsidRPr="001A2DFB" w:rsidRDefault="001A2DFB" w:rsidP="007F683D">
            <w:pPr>
              <w:spacing w:after="0" w:line="240" w:lineRule="auto"/>
              <w:jc w:val="center"/>
              <w:rPr>
                <w:rFonts w:ascii="Arial" w:eastAsia="Times New Roman" w:hAnsi="Arial" w:cs="Arial"/>
                <w:color w:val="184884"/>
                <w:sz w:val="20"/>
                <w:szCs w:val="20"/>
              </w:rPr>
            </w:pPr>
            <w:r w:rsidRPr="001A2DFB">
              <w:rPr>
                <w:rFonts w:ascii="Lucida Sans Unicode" w:eastAsia="Times New Roman" w:hAnsi="Lucida Sans Unicode" w:cs="Lucida Sans Unicode"/>
                <w:b/>
                <w:bCs/>
                <w:color w:val="184884"/>
                <w:kern w:val="24"/>
                <w:sz w:val="20"/>
                <w:szCs w:val="20"/>
              </w:rPr>
              <w:t>Independent &amp; Franchise</w:t>
            </w:r>
          </w:p>
        </w:tc>
      </w:tr>
      <w:tr w:rsidR="00C53F80" w:rsidRPr="001A2DFB" w:rsidTr="00386EA2">
        <w:tc>
          <w:tcPr>
            <w:tcW w:w="3317" w:type="dxa"/>
            <w:tcBorders>
              <w:right w:val="single" w:sz="8" w:space="0" w:color="FFFFFF" w:themeColor="background1"/>
            </w:tcBorders>
            <w:shd w:val="clear" w:color="auto" w:fill="DBE5F1"/>
            <w:tcMar>
              <w:top w:w="72" w:type="dxa"/>
              <w:left w:w="144" w:type="dxa"/>
              <w:bottom w:w="72" w:type="dxa"/>
              <w:right w:w="144" w:type="dxa"/>
            </w:tcMar>
            <w:hideMark/>
          </w:tcPr>
          <w:p w:rsidR="001A2DFB" w:rsidRPr="001A2DFB" w:rsidRDefault="001A2DFB" w:rsidP="007F683D">
            <w:pPr>
              <w:spacing w:after="0" w:line="240" w:lineRule="auto"/>
              <w:jc w:val="both"/>
              <w:rPr>
                <w:rFonts w:ascii="Arial" w:eastAsia="Times New Roman" w:hAnsi="Arial" w:cs="Arial"/>
                <w:color w:val="184884"/>
                <w:sz w:val="20"/>
                <w:szCs w:val="20"/>
              </w:rPr>
            </w:pPr>
            <w:r w:rsidRPr="001A2DFB">
              <w:rPr>
                <w:rFonts w:ascii="Lucida Sans Unicode" w:eastAsia="Times New Roman" w:hAnsi="Lucida Sans Unicode" w:cs="Lucida Sans Unicode"/>
                <w:b/>
                <w:color w:val="184884"/>
                <w:sz w:val="20"/>
                <w:szCs w:val="20"/>
              </w:rPr>
              <w:t>CARSTAR</w:t>
            </w:r>
          </w:p>
        </w:tc>
        <w:tc>
          <w:tcPr>
            <w:tcW w:w="2163" w:type="dxa"/>
            <w:tcBorders>
              <w:left w:val="single" w:sz="8" w:space="0" w:color="FFFFFF" w:themeColor="background1"/>
              <w:right w:val="single" w:sz="8" w:space="0" w:color="FFFFFF" w:themeColor="background1"/>
            </w:tcBorders>
            <w:shd w:val="clear" w:color="auto" w:fill="DBE5F1"/>
            <w:tcMar>
              <w:top w:w="72" w:type="dxa"/>
              <w:left w:w="144" w:type="dxa"/>
              <w:bottom w:w="72" w:type="dxa"/>
              <w:right w:w="144" w:type="dxa"/>
            </w:tcMar>
            <w:hideMark/>
          </w:tcPr>
          <w:p w:rsidR="001A2DFB" w:rsidRPr="001A2DFB" w:rsidRDefault="001A2DFB" w:rsidP="007F683D">
            <w:pPr>
              <w:spacing w:after="0" w:line="240" w:lineRule="auto"/>
              <w:jc w:val="center"/>
              <w:rPr>
                <w:rFonts w:ascii="Arial" w:eastAsia="Times New Roman" w:hAnsi="Arial" w:cs="Arial"/>
                <w:b/>
                <w:color w:val="943634"/>
                <w:sz w:val="20"/>
                <w:szCs w:val="20"/>
              </w:rPr>
            </w:pPr>
            <w:r w:rsidRPr="001A2DFB">
              <w:rPr>
                <w:rFonts w:ascii="Lucida Sans Unicode" w:eastAsia="Times New Roman" w:hAnsi="Lucida Sans Unicode" w:cs="Lucida Sans Unicode"/>
                <w:b/>
                <w:bCs/>
                <w:color w:val="943634"/>
                <w:kern w:val="24"/>
                <w:sz w:val="20"/>
                <w:szCs w:val="20"/>
              </w:rPr>
              <w:t xml:space="preserve">US </w:t>
            </w:r>
            <w:r w:rsidR="00656AE6">
              <w:rPr>
                <w:rFonts w:ascii="Lucida Sans Unicode" w:eastAsia="Times New Roman" w:hAnsi="Lucida Sans Unicode" w:cs="Lucida Sans Unicode"/>
                <w:b/>
                <w:bCs/>
                <w:color w:val="943634"/>
                <w:kern w:val="24"/>
                <w:sz w:val="20"/>
                <w:szCs w:val="20"/>
              </w:rPr>
              <w:t>–</w:t>
            </w:r>
            <w:r w:rsidRPr="001A2DFB">
              <w:rPr>
                <w:rFonts w:ascii="Lucida Sans Unicode" w:eastAsia="Times New Roman" w:hAnsi="Lucida Sans Unicode" w:cs="Lucida Sans Unicode"/>
                <w:b/>
                <w:bCs/>
                <w:color w:val="943634"/>
                <w:kern w:val="24"/>
                <w:sz w:val="20"/>
                <w:szCs w:val="20"/>
              </w:rPr>
              <w:t xml:space="preserve"> CA</w:t>
            </w:r>
            <w:r w:rsidR="00656AE6">
              <w:rPr>
                <w:rFonts w:ascii="Lucida Sans Unicode" w:eastAsia="Times New Roman" w:hAnsi="Lucida Sans Unicode" w:cs="Lucida Sans Unicode"/>
                <w:b/>
                <w:bCs/>
                <w:color w:val="943634"/>
                <w:kern w:val="24"/>
                <w:sz w:val="20"/>
                <w:szCs w:val="20"/>
              </w:rPr>
              <w:t>N</w:t>
            </w:r>
          </w:p>
        </w:tc>
        <w:tc>
          <w:tcPr>
            <w:tcW w:w="2975" w:type="dxa"/>
            <w:tcBorders>
              <w:left w:val="single" w:sz="8" w:space="0" w:color="FFFFFF" w:themeColor="background1"/>
            </w:tcBorders>
            <w:shd w:val="clear" w:color="auto" w:fill="DBE5F1"/>
            <w:tcMar>
              <w:top w:w="72" w:type="dxa"/>
              <w:left w:w="144" w:type="dxa"/>
              <w:bottom w:w="72" w:type="dxa"/>
              <w:right w:w="144" w:type="dxa"/>
            </w:tcMar>
            <w:hideMark/>
          </w:tcPr>
          <w:p w:rsidR="001A2DFB" w:rsidRPr="001A2DFB" w:rsidRDefault="001A2DFB" w:rsidP="007F683D">
            <w:pPr>
              <w:spacing w:after="0" w:line="240" w:lineRule="auto"/>
              <w:jc w:val="center"/>
              <w:rPr>
                <w:rFonts w:ascii="Arial" w:eastAsia="Times New Roman" w:hAnsi="Arial" w:cs="Arial"/>
                <w:color w:val="184884"/>
                <w:sz w:val="20"/>
                <w:szCs w:val="20"/>
              </w:rPr>
            </w:pPr>
            <w:r w:rsidRPr="001A2DFB">
              <w:rPr>
                <w:rFonts w:ascii="Lucida Sans Unicode" w:eastAsia="Times New Roman" w:hAnsi="Lucida Sans Unicode" w:cs="Lucida Sans Unicode"/>
                <w:b/>
                <w:bCs/>
                <w:color w:val="184884"/>
                <w:kern w:val="24"/>
                <w:sz w:val="20"/>
                <w:szCs w:val="20"/>
              </w:rPr>
              <w:t>Franchise</w:t>
            </w:r>
          </w:p>
        </w:tc>
      </w:tr>
      <w:tr w:rsidR="00C53F80" w:rsidRPr="001A2DFB" w:rsidTr="00386EA2">
        <w:tc>
          <w:tcPr>
            <w:tcW w:w="3317" w:type="dxa"/>
            <w:tcBorders>
              <w:right w:val="single" w:sz="8" w:space="0" w:color="FFFFFF" w:themeColor="background1"/>
            </w:tcBorders>
            <w:shd w:val="clear" w:color="auto" w:fill="B8CCE4"/>
            <w:tcMar>
              <w:top w:w="72" w:type="dxa"/>
              <w:left w:w="144" w:type="dxa"/>
              <w:bottom w:w="72" w:type="dxa"/>
              <w:right w:w="144" w:type="dxa"/>
            </w:tcMar>
            <w:hideMark/>
          </w:tcPr>
          <w:p w:rsidR="001A2DFB" w:rsidRPr="001A2DFB" w:rsidRDefault="001A2DFB" w:rsidP="007F683D">
            <w:pPr>
              <w:spacing w:after="0" w:line="240" w:lineRule="auto"/>
              <w:jc w:val="both"/>
              <w:rPr>
                <w:rFonts w:ascii="Arial" w:eastAsia="Times New Roman" w:hAnsi="Arial" w:cs="Arial"/>
                <w:color w:val="184884"/>
                <w:sz w:val="20"/>
                <w:szCs w:val="20"/>
              </w:rPr>
            </w:pPr>
            <w:r w:rsidRPr="001A2DFB">
              <w:rPr>
                <w:rFonts w:ascii="Lucida Sans Unicode" w:eastAsia="Times New Roman" w:hAnsi="Lucida Sans Unicode" w:cs="Lucida Sans Unicode"/>
                <w:b/>
                <w:bCs/>
                <w:color w:val="184884"/>
                <w:kern w:val="24"/>
                <w:sz w:val="20"/>
                <w:szCs w:val="20"/>
              </w:rPr>
              <w:t>Maaco</w:t>
            </w:r>
          </w:p>
        </w:tc>
        <w:tc>
          <w:tcPr>
            <w:tcW w:w="2163" w:type="dxa"/>
            <w:tcBorders>
              <w:left w:val="single" w:sz="8" w:space="0" w:color="FFFFFF" w:themeColor="background1"/>
              <w:right w:val="single" w:sz="8" w:space="0" w:color="FFFFFF" w:themeColor="background1"/>
            </w:tcBorders>
            <w:shd w:val="clear" w:color="auto" w:fill="B8CCE4"/>
            <w:tcMar>
              <w:top w:w="72" w:type="dxa"/>
              <w:left w:w="144" w:type="dxa"/>
              <w:bottom w:w="72" w:type="dxa"/>
              <w:right w:w="144" w:type="dxa"/>
            </w:tcMar>
            <w:hideMark/>
          </w:tcPr>
          <w:p w:rsidR="001A2DFB" w:rsidRPr="001A2DFB" w:rsidRDefault="001A2DFB" w:rsidP="007F683D">
            <w:pPr>
              <w:spacing w:after="0" w:line="240" w:lineRule="auto"/>
              <w:jc w:val="center"/>
              <w:rPr>
                <w:rFonts w:ascii="Lucida Sans Unicode" w:eastAsia="Times New Roman" w:hAnsi="Lucida Sans Unicode" w:cs="Lucida Sans Unicode"/>
                <w:b/>
                <w:color w:val="943634"/>
                <w:sz w:val="20"/>
                <w:szCs w:val="20"/>
              </w:rPr>
            </w:pPr>
            <w:r w:rsidRPr="001A2DFB">
              <w:rPr>
                <w:rFonts w:ascii="Lucida Sans Unicode" w:eastAsia="Times New Roman" w:hAnsi="Lucida Sans Unicode" w:cs="Lucida Sans Unicode"/>
                <w:b/>
                <w:color w:val="943634"/>
                <w:sz w:val="20"/>
                <w:szCs w:val="20"/>
              </w:rPr>
              <w:t xml:space="preserve">US </w:t>
            </w:r>
            <w:r w:rsidR="00656AE6">
              <w:rPr>
                <w:rFonts w:ascii="Lucida Sans Unicode" w:eastAsia="Times New Roman" w:hAnsi="Lucida Sans Unicode" w:cs="Lucida Sans Unicode"/>
                <w:b/>
                <w:color w:val="943634"/>
                <w:sz w:val="20"/>
                <w:szCs w:val="20"/>
              </w:rPr>
              <w:t>–</w:t>
            </w:r>
            <w:r w:rsidRPr="001A2DFB">
              <w:rPr>
                <w:rFonts w:ascii="Lucida Sans Unicode" w:eastAsia="Times New Roman" w:hAnsi="Lucida Sans Unicode" w:cs="Lucida Sans Unicode"/>
                <w:b/>
                <w:color w:val="943634"/>
                <w:sz w:val="20"/>
                <w:szCs w:val="20"/>
              </w:rPr>
              <w:t xml:space="preserve"> CA</w:t>
            </w:r>
            <w:r w:rsidR="00656AE6">
              <w:rPr>
                <w:rFonts w:ascii="Lucida Sans Unicode" w:eastAsia="Times New Roman" w:hAnsi="Lucida Sans Unicode" w:cs="Lucida Sans Unicode"/>
                <w:b/>
                <w:color w:val="943634"/>
                <w:sz w:val="20"/>
                <w:szCs w:val="20"/>
              </w:rPr>
              <w:t>N</w:t>
            </w:r>
          </w:p>
        </w:tc>
        <w:tc>
          <w:tcPr>
            <w:tcW w:w="2975" w:type="dxa"/>
            <w:tcBorders>
              <w:left w:val="single" w:sz="8" w:space="0" w:color="FFFFFF" w:themeColor="background1"/>
            </w:tcBorders>
            <w:shd w:val="clear" w:color="auto" w:fill="B8CCE4"/>
            <w:tcMar>
              <w:top w:w="72" w:type="dxa"/>
              <w:left w:w="144" w:type="dxa"/>
              <w:bottom w:w="72" w:type="dxa"/>
              <w:right w:w="144" w:type="dxa"/>
            </w:tcMar>
            <w:hideMark/>
          </w:tcPr>
          <w:p w:rsidR="001A2DFB" w:rsidRPr="001A2DFB" w:rsidRDefault="001A2DFB" w:rsidP="007F683D">
            <w:pPr>
              <w:spacing w:after="0" w:line="240" w:lineRule="auto"/>
              <w:jc w:val="center"/>
              <w:rPr>
                <w:rFonts w:ascii="Arial" w:eastAsia="Times New Roman" w:hAnsi="Arial" w:cs="Arial"/>
                <w:color w:val="184884"/>
                <w:sz w:val="20"/>
                <w:szCs w:val="20"/>
              </w:rPr>
            </w:pPr>
            <w:r w:rsidRPr="001A2DFB">
              <w:rPr>
                <w:rFonts w:ascii="Lucida Sans Unicode" w:eastAsia="Times New Roman" w:hAnsi="Lucida Sans Unicode" w:cs="Lucida Sans Unicode"/>
                <w:b/>
                <w:bCs/>
                <w:color w:val="184884"/>
                <w:kern w:val="24"/>
                <w:sz w:val="20"/>
                <w:szCs w:val="20"/>
              </w:rPr>
              <w:t>Franchise</w:t>
            </w:r>
          </w:p>
        </w:tc>
      </w:tr>
      <w:tr w:rsidR="00C53F80" w:rsidRPr="001A2DFB" w:rsidTr="00386EA2">
        <w:tc>
          <w:tcPr>
            <w:tcW w:w="3317" w:type="dxa"/>
            <w:tcBorders>
              <w:right w:val="single" w:sz="8" w:space="0" w:color="FFFFFF" w:themeColor="background1"/>
            </w:tcBorders>
            <w:shd w:val="clear" w:color="auto" w:fill="DBE5F1"/>
            <w:tcMar>
              <w:top w:w="72" w:type="dxa"/>
              <w:left w:w="144" w:type="dxa"/>
              <w:bottom w:w="72" w:type="dxa"/>
              <w:right w:w="144" w:type="dxa"/>
            </w:tcMar>
            <w:hideMark/>
          </w:tcPr>
          <w:p w:rsidR="001A2DFB" w:rsidRPr="001A2DFB" w:rsidRDefault="001A2DFB" w:rsidP="007F683D">
            <w:pPr>
              <w:spacing w:after="0" w:line="240" w:lineRule="auto"/>
              <w:jc w:val="both"/>
              <w:rPr>
                <w:rFonts w:ascii="Arial" w:eastAsia="Times New Roman" w:hAnsi="Arial" w:cs="Arial"/>
                <w:color w:val="184884"/>
                <w:sz w:val="20"/>
                <w:szCs w:val="20"/>
              </w:rPr>
            </w:pPr>
            <w:r w:rsidRPr="001A2DFB">
              <w:rPr>
                <w:rFonts w:ascii="Lucida Sans Unicode" w:eastAsia="Times New Roman" w:hAnsi="Lucida Sans Unicode" w:cs="Lucida Sans Unicode"/>
                <w:b/>
                <w:bCs/>
                <w:color w:val="184884"/>
                <w:kern w:val="24"/>
                <w:sz w:val="20"/>
                <w:szCs w:val="20"/>
              </w:rPr>
              <w:t>Fix Network</w:t>
            </w:r>
          </w:p>
        </w:tc>
        <w:tc>
          <w:tcPr>
            <w:tcW w:w="2163" w:type="dxa"/>
            <w:tcBorders>
              <w:left w:val="single" w:sz="8" w:space="0" w:color="FFFFFF" w:themeColor="background1"/>
              <w:right w:val="single" w:sz="8" w:space="0" w:color="FFFFFF" w:themeColor="background1"/>
            </w:tcBorders>
            <w:shd w:val="clear" w:color="auto" w:fill="DBE5F1"/>
            <w:tcMar>
              <w:top w:w="72" w:type="dxa"/>
              <w:left w:w="144" w:type="dxa"/>
              <w:bottom w:w="72" w:type="dxa"/>
              <w:right w:w="144" w:type="dxa"/>
            </w:tcMar>
            <w:hideMark/>
          </w:tcPr>
          <w:p w:rsidR="001A2DFB" w:rsidRPr="001A2DFB" w:rsidRDefault="001A2DFB" w:rsidP="007F683D">
            <w:pPr>
              <w:spacing w:after="0" w:line="240" w:lineRule="auto"/>
              <w:jc w:val="center"/>
              <w:rPr>
                <w:rFonts w:ascii="Lucida Sans Unicode" w:eastAsia="Times New Roman" w:hAnsi="Lucida Sans Unicode" w:cs="Lucida Sans Unicode"/>
                <w:b/>
                <w:color w:val="943634"/>
                <w:sz w:val="20"/>
                <w:szCs w:val="20"/>
              </w:rPr>
            </w:pPr>
            <w:r w:rsidRPr="001A2DFB">
              <w:rPr>
                <w:rFonts w:ascii="Lucida Sans Unicode" w:eastAsia="Times New Roman" w:hAnsi="Lucida Sans Unicode" w:cs="Lucida Sans Unicode"/>
                <w:b/>
                <w:color w:val="943634"/>
                <w:sz w:val="20"/>
                <w:szCs w:val="20"/>
              </w:rPr>
              <w:t>US – CA</w:t>
            </w:r>
            <w:r w:rsidR="00656AE6">
              <w:rPr>
                <w:rFonts w:ascii="Lucida Sans Unicode" w:eastAsia="Times New Roman" w:hAnsi="Lucida Sans Unicode" w:cs="Lucida Sans Unicode"/>
                <w:b/>
                <w:color w:val="943634"/>
                <w:sz w:val="20"/>
                <w:szCs w:val="20"/>
              </w:rPr>
              <w:t>N</w:t>
            </w:r>
          </w:p>
        </w:tc>
        <w:tc>
          <w:tcPr>
            <w:tcW w:w="2975" w:type="dxa"/>
            <w:tcBorders>
              <w:left w:val="single" w:sz="8" w:space="0" w:color="FFFFFF" w:themeColor="background1"/>
            </w:tcBorders>
            <w:shd w:val="clear" w:color="auto" w:fill="DBE5F1"/>
            <w:tcMar>
              <w:top w:w="72" w:type="dxa"/>
              <w:left w:w="144" w:type="dxa"/>
              <w:bottom w:w="72" w:type="dxa"/>
              <w:right w:w="144" w:type="dxa"/>
            </w:tcMar>
            <w:hideMark/>
          </w:tcPr>
          <w:p w:rsidR="001A2DFB" w:rsidRPr="001A2DFB" w:rsidRDefault="001A2DFB" w:rsidP="007F683D">
            <w:pPr>
              <w:spacing w:after="0" w:line="240" w:lineRule="auto"/>
              <w:jc w:val="center"/>
              <w:rPr>
                <w:rFonts w:ascii="Arial" w:eastAsia="Times New Roman" w:hAnsi="Arial" w:cs="Arial"/>
                <w:color w:val="184884"/>
                <w:sz w:val="20"/>
                <w:szCs w:val="20"/>
              </w:rPr>
            </w:pPr>
            <w:r w:rsidRPr="001A2DFB">
              <w:rPr>
                <w:rFonts w:ascii="Lucida Sans Unicode" w:eastAsia="Times New Roman" w:hAnsi="Lucida Sans Unicode" w:cs="Lucida Sans Unicode"/>
                <w:b/>
                <w:bCs/>
                <w:color w:val="184884"/>
                <w:kern w:val="24"/>
                <w:sz w:val="20"/>
                <w:szCs w:val="20"/>
              </w:rPr>
              <w:t>Franchise</w:t>
            </w:r>
          </w:p>
        </w:tc>
      </w:tr>
      <w:tr w:rsidR="00C53F80" w:rsidRPr="001A2DFB" w:rsidTr="00386EA2">
        <w:tc>
          <w:tcPr>
            <w:tcW w:w="3317" w:type="dxa"/>
            <w:tcBorders>
              <w:right w:val="single" w:sz="8" w:space="0" w:color="FFFFFF" w:themeColor="background1"/>
            </w:tcBorders>
            <w:shd w:val="clear" w:color="auto" w:fill="B8CCE4"/>
            <w:tcMar>
              <w:top w:w="72" w:type="dxa"/>
              <w:left w:w="144" w:type="dxa"/>
              <w:bottom w:w="72" w:type="dxa"/>
              <w:right w:w="144" w:type="dxa"/>
            </w:tcMar>
            <w:hideMark/>
          </w:tcPr>
          <w:p w:rsidR="001A2DFB" w:rsidRPr="001A2DFB" w:rsidRDefault="001A2DFB" w:rsidP="007F683D">
            <w:pPr>
              <w:spacing w:after="0" w:line="240" w:lineRule="auto"/>
              <w:jc w:val="both"/>
              <w:rPr>
                <w:rFonts w:ascii="Arial" w:eastAsia="Times New Roman" w:hAnsi="Arial" w:cs="Arial"/>
                <w:color w:val="184884"/>
                <w:sz w:val="20"/>
                <w:szCs w:val="20"/>
              </w:rPr>
            </w:pPr>
            <w:r w:rsidRPr="001A2DFB">
              <w:rPr>
                <w:rFonts w:ascii="Lucida Sans Unicode" w:eastAsia="Times New Roman" w:hAnsi="Lucida Sans Unicode" w:cs="Lucida Sans Unicode"/>
                <w:b/>
                <w:bCs/>
                <w:color w:val="184884"/>
                <w:kern w:val="24"/>
                <w:sz w:val="20"/>
                <w:szCs w:val="20"/>
              </w:rPr>
              <w:t>Collision Solutions Network</w:t>
            </w:r>
          </w:p>
        </w:tc>
        <w:tc>
          <w:tcPr>
            <w:tcW w:w="2163" w:type="dxa"/>
            <w:tcBorders>
              <w:left w:val="single" w:sz="8" w:space="0" w:color="FFFFFF" w:themeColor="background1"/>
              <w:right w:val="single" w:sz="8" w:space="0" w:color="FFFFFF" w:themeColor="background1"/>
            </w:tcBorders>
            <w:shd w:val="clear" w:color="auto" w:fill="B8CCE4"/>
            <w:tcMar>
              <w:top w:w="72" w:type="dxa"/>
              <w:left w:w="144" w:type="dxa"/>
              <w:bottom w:w="72" w:type="dxa"/>
              <w:right w:w="144" w:type="dxa"/>
            </w:tcMar>
            <w:hideMark/>
          </w:tcPr>
          <w:p w:rsidR="001A2DFB" w:rsidRPr="001A2DFB" w:rsidRDefault="001A2DFB" w:rsidP="007F683D">
            <w:pPr>
              <w:spacing w:after="0" w:line="240" w:lineRule="auto"/>
              <w:jc w:val="center"/>
              <w:rPr>
                <w:rFonts w:ascii="Lucida Sans Unicode" w:eastAsia="Times New Roman" w:hAnsi="Lucida Sans Unicode" w:cs="Lucida Sans Unicode"/>
                <w:b/>
                <w:color w:val="943634"/>
                <w:sz w:val="20"/>
                <w:szCs w:val="20"/>
              </w:rPr>
            </w:pPr>
            <w:r w:rsidRPr="001A2DFB">
              <w:rPr>
                <w:rFonts w:ascii="Lucida Sans Unicode" w:eastAsia="Times New Roman" w:hAnsi="Lucida Sans Unicode" w:cs="Lucida Sans Unicode"/>
                <w:b/>
                <w:color w:val="943634"/>
                <w:sz w:val="20"/>
                <w:szCs w:val="20"/>
              </w:rPr>
              <w:t>CA</w:t>
            </w:r>
            <w:r w:rsidR="00656AE6">
              <w:rPr>
                <w:rFonts w:ascii="Lucida Sans Unicode" w:eastAsia="Times New Roman" w:hAnsi="Lucida Sans Unicode" w:cs="Lucida Sans Unicode"/>
                <w:b/>
                <w:color w:val="943634"/>
                <w:sz w:val="20"/>
                <w:szCs w:val="20"/>
              </w:rPr>
              <w:t>N</w:t>
            </w:r>
          </w:p>
        </w:tc>
        <w:tc>
          <w:tcPr>
            <w:tcW w:w="2975" w:type="dxa"/>
            <w:tcBorders>
              <w:left w:val="single" w:sz="8" w:space="0" w:color="FFFFFF" w:themeColor="background1"/>
            </w:tcBorders>
            <w:shd w:val="clear" w:color="auto" w:fill="B8CCE4"/>
            <w:tcMar>
              <w:top w:w="72" w:type="dxa"/>
              <w:left w:w="144" w:type="dxa"/>
              <w:bottom w:w="72" w:type="dxa"/>
              <w:right w:w="144" w:type="dxa"/>
            </w:tcMar>
            <w:hideMark/>
          </w:tcPr>
          <w:p w:rsidR="001A2DFB" w:rsidRPr="001A2DFB" w:rsidRDefault="001A2DFB" w:rsidP="007F683D">
            <w:pPr>
              <w:spacing w:after="0" w:line="240" w:lineRule="auto"/>
              <w:jc w:val="center"/>
              <w:rPr>
                <w:rFonts w:ascii="Arial" w:eastAsia="Times New Roman" w:hAnsi="Arial" w:cs="Arial"/>
                <w:color w:val="184884"/>
                <w:sz w:val="20"/>
                <w:szCs w:val="20"/>
              </w:rPr>
            </w:pPr>
            <w:r w:rsidRPr="001A2DFB">
              <w:rPr>
                <w:rFonts w:ascii="Lucida Sans Unicode" w:eastAsia="Times New Roman" w:hAnsi="Lucida Sans Unicode" w:cs="Lucida Sans Unicode"/>
                <w:b/>
                <w:bCs/>
                <w:color w:val="184884"/>
                <w:kern w:val="24"/>
                <w:sz w:val="20"/>
                <w:szCs w:val="20"/>
              </w:rPr>
              <w:t>Banner</w:t>
            </w:r>
          </w:p>
        </w:tc>
      </w:tr>
      <w:tr w:rsidR="00C53F80" w:rsidRPr="001A2DFB" w:rsidTr="00386EA2">
        <w:tc>
          <w:tcPr>
            <w:tcW w:w="3317" w:type="dxa"/>
            <w:tcBorders>
              <w:right w:val="single" w:sz="8" w:space="0" w:color="FFFFFF" w:themeColor="background1"/>
            </w:tcBorders>
            <w:shd w:val="clear" w:color="auto" w:fill="DBE5F1"/>
            <w:tcMar>
              <w:top w:w="72" w:type="dxa"/>
              <w:left w:w="144" w:type="dxa"/>
              <w:bottom w:w="72" w:type="dxa"/>
              <w:right w:w="144" w:type="dxa"/>
            </w:tcMar>
            <w:hideMark/>
          </w:tcPr>
          <w:p w:rsidR="001A2DFB" w:rsidRPr="001A2DFB" w:rsidRDefault="001A2DFB" w:rsidP="007F683D">
            <w:pPr>
              <w:spacing w:after="0" w:line="240" w:lineRule="auto"/>
              <w:jc w:val="both"/>
              <w:rPr>
                <w:rFonts w:ascii="Arial" w:eastAsia="Times New Roman" w:hAnsi="Arial" w:cs="Arial"/>
                <w:color w:val="184884"/>
                <w:sz w:val="20"/>
                <w:szCs w:val="20"/>
              </w:rPr>
            </w:pPr>
            <w:r w:rsidRPr="001A2DFB">
              <w:rPr>
                <w:rFonts w:ascii="Lucida Sans Unicode" w:eastAsia="Times New Roman" w:hAnsi="Lucida Sans Unicode" w:cs="Lucida Sans Unicode"/>
                <w:b/>
                <w:bCs/>
                <w:color w:val="184884"/>
                <w:kern w:val="24"/>
                <w:sz w:val="20"/>
                <w:szCs w:val="20"/>
              </w:rPr>
              <w:t>Auto Nation</w:t>
            </w:r>
          </w:p>
        </w:tc>
        <w:tc>
          <w:tcPr>
            <w:tcW w:w="2163" w:type="dxa"/>
            <w:tcBorders>
              <w:left w:val="single" w:sz="8" w:space="0" w:color="FFFFFF" w:themeColor="background1"/>
              <w:right w:val="single" w:sz="8" w:space="0" w:color="FFFFFF" w:themeColor="background1"/>
            </w:tcBorders>
            <w:shd w:val="clear" w:color="auto" w:fill="DBE5F1"/>
            <w:tcMar>
              <w:top w:w="72" w:type="dxa"/>
              <w:left w:w="144" w:type="dxa"/>
              <w:bottom w:w="72" w:type="dxa"/>
              <w:right w:w="144" w:type="dxa"/>
            </w:tcMar>
            <w:hideMark/>
          </w:tcPr>
          <w:p w:rsidR="001A2DFB" w:rsidRPr="001A2DFB" w:rsidRDefault="001A2DFB" w:rsidP="007F683D">
            <w:pPr>
              <w:spacing w:after="0" w:line="240" w:lineRule="auto"/>
              <w:jc w:val="center"/>
              <w:rPr>
                <w:rFonts w:ascii="Lucida Sans Unicode" w:eastAsia="Times New Roman" w:hAnsi="Lucida Sans Unicode" w:cs="Lucida Sans Unicode"/>
                <w:b/>
                <w:color w:val="943634"/>
                <w:sz w:val="20"/>
                <w:szCs w:val="20"/>
              </w:rPr>
            </w:pPr>
            <w:r w:rsidRPr="001A2DFB">
              <w:rPr>
                <w:rFonts w:ascii="Lucida Sans Unicode" w:eastAsia="Times New Roman" w:hAnsi="Lucida Sans Unicode" w:cs="Lucida Sans Unicode"/>
                <w:b/>
                <w:color w:val="943634"/>
                <w:sz w:val="20"/>
                <w:szCs w:val="20"/>
              </w:rPr>
              <w:t>US</w:t>
            </w:r>
          </w:p>
        </w:tc>
        <w:tc>
          <w:tcPr>
            <w:tcW w:w="2975" w:type="dxa"/>
            <w:tcBorders>
              <w:left w:val="single" w:sz="8" w:space="0" w:color="FFFFFF" w:themeColor="background1"/>
            </w:tcBorders>
            <w:shd w:val="clear" w:color="auto" w:fill="DBE5F1"/>
            <w:tcMar>
              <w:top w:w="72" w:type="dxa"/>
              <w:left w:w="144" w:type="dxa"/>
              <w:bottom w:w="72" w:type="dxa"/>
              <w:right w:w="144" w:type="dxa"/>
            </w:tcMar>
            <w:hideMark/>
          </w:tcPr>
          <w:p w:rsidR="001A2DFB" w:rsidRPr="001A2DFB" w:rsidRDefault="001A2DFB" w:rsidP="007F683D">
            <w:pPr>
              <w:spacing w:after="0" w:line="240" w:lineRule="auto"/>
              <w:jc w:val="center"/>
              <w:rPr>
                <w:rFonts w:ascii="Arial" w:eastAsia="Times New Roman" w:hAnsi="Arial" w:cs="Arial"/>
                <w:color w:val="184884"/>
                <w:sz w:val="20"/>
                <w:szCs w:val="20"/>
              </w:rPr>
            </w:pPr>
            <w:r w:rsidRPr="001A2DFB">
              <w:rPr>
                <w:rFonts w:ascii="Lucida Sans Unicode" w:eastAsia="Times New Roman" w:hAnsi="Lucida Sans Unicode" w:cs="Lucida Sans Unicode"/>
                <w:b/>
                <w:bCs/>
                <w:color w:val="184884"/>
                <w:kern w:val="24"/>
                <w:sz w:val="20"/>
                <w:szCs w:val="20"/>
              </w:rPr>
              <w:t>Dealer</w:t>
            </w:r>
          </w:p>
        </w:tc>
      </w:tr>
      <w:tr w:rsidR="00C53F80" w:rsidRPr="001A2DFB" w:rsidTr="00386EA2">
        <w:tc>
          <w:tcPr>
            <w:tcW w:w="3317" w:type="dxa"/>
            <w:tcBorders>
              <w:right w:val="single" w:sz="8" w:space="0" w:color="FFFFFF" w:themeColor="background1"/>
            </w:tcBorders>
            <w:shd w:val="clear" w:color="auto" w:fill="B8CCE4"/>
            <w:tcMar>
              <w:top w:w="72" w:type="dxa"/>
              <w:left w:w="144" w:type="dxa"/>
              <w:bottom w:w="72" w:type="dxa"/>
              <w:right w:w="144" w:type="dxa"/>
            </w:tcMar>
            <w:hideMark/>
          </w:tcPr>
          <w:p w:rsidR="001A2DFB" w:rsidRPr="001A2DFB" w:rsidRDefault="001A2DFB" w:rsidP="007F683D">
            <w:pPr>
              <w:spacing w:after="0" w:line="240" w:lineRule="auto"/>
              <w:jc w:val="both"/>
              <w:rPr>
                <w:rFonts w:ascii="Arial" w:eastAsia="Times New Roman" w:hAnsi="Arial" w:cs="Arial"/>
                <w:color w:val="184884"/>
                <w:sz w:val="20"/>
                <w:szCs w:val="20"/>
              </w:rPr>
            </w:pPr>
            <w:r w:rsidRPr="001A2DFB">
              <w:rPr>
                <w:rFonts w:ascii="Lucida Sans Unicode" w:eastAsia="Times New Roman" w:hAnsi="Lucida Sans Unicode" w:cs="Lucida Sans Unicode"/>
                <w:b/>
                <w:bCs/>
                <w:color w:val="184884"/>
                <w:kern w:val="24"/>
                <w:sz w:val="20"/>
                <w:szCs w:val="20"/>
              </w:rPr>
              <w:t xml:space="preserve">Hendricks </w:t>
            </w:r>
          </w:p>
        </w:tc>
        <w:tc>
          <w:tcPr>
            <w:tcW w:w="2163" w:type="dxa"/>
            <w:tcBorders>
              <w:left w:val="single" w:sz="8" w:space="0" w:color="FFFFFF" w:themeColor="background1"/>
              <w:right w:val="single" w:sz="8" w:space="0" w:color="FFFFFF" w:themeColor="background1"/>
            </w:tcBorders>
            <w:shd w:val="clear" w:color="auto" w:fill="B8CCE4"/>
            <w:tcMar>
              <w:top w:w="72" w:type="dxa"/>
              <w:left w:w="144" w:type="dxa"/>
              <w:bottom w:w="72" w:type="dxa"/>
              <w:right w:w="144" w:type="dxa"/>
            </w:tcMar>
            <w:hideMark/>
          </w:tcPr>
          <w:p w:rsidR="001A2DFB" w:rsidRPr="001A2DFB" w:rsidRDefault="001A2DFB" w:rsidP="007F683D">
            <w:pPr>
              <w:spacing w:after="0" w:line="240" w:lineRule="auto"/>
              <w:jc w:val="center"/>
              <w:rPr>
                <w:rFonts w:ascii="Lucida Sans Unicode" w:eastAsia="Times New Roman" w:hAnsi="Lucida Sans Unicode" w:cs="Lucida Sans Unicode"/>
                <w:b/>
                <w:color w:val="943634"/>
                <w:sz w:val="20"/>
                <w:szCs w:val="20"/>
              </w:rPr>
            </w:pPr>
            <w:r w:rsidRPr="001A2DFB">
              <w:rPr>
                <w:rFonts w:ascii="Lucida Sans Unicode" w:eastAsia="Times New Roman" w:hAnsi="Lucida Sans Unicode" w:cs="Lucida Sans Unicode"/>
                <w:b/>
                <w:color w:val="943634"/>
                <w:sz w:val="20"/>
                <w:szCs w:val="20"/>
              </w:rPr>
              <w:t>US</w:t>
            </w:r>
          </w:p>
        </w:tc>
        <w:tc>
          <w:tcPr>
            <w:tcW w:w="2975" w:type="dxa"/>
            <w:tcBorders>
              <w:left w:val="single" w:sz="8" w:space="0" w:color="FFFFFF" w:themeColor="background1"/>
            </w:tcBorders>
            <w:shd w:val="clear" w:color="auto" w:fill="B8CCE4"/>
            <w:tcMar>
              <w:top w:w="72" w:type="dxa"/>
              <w:left w:w="144" w:type="dxa"/>
              <w:bottom w:w="72" w:type="dxa"/>
              <w:right w:w="144" w:type="dxa"/>
            </w:tcMar>
            <w:hideMark/>
          </w:tcPr>
          <w:p w:rsidR="001A2DFB" w:rsidRPr="001A2DFB" w:rsidRDefault="001A2DFB" w:rsidP="007F683D">
            <w:pPr>
              <w:spacing w:after="0" w:line="240" w:lineRule="auto"/>
              <w:jc w:val="center"/>
              <w:rPr>
                <w:rFonts w:ascii="Arial" w:eastAsia="Times New Roman" w:hAnsi="Arial" w:cs="Arial"/>
                <w:color w:val="184884"/>
                <w:sz w:val="20"/>
                <w:szCs w:val="20"/>
              </w:rPr>
            </w:pPr>
            <w:r w:rsidRPr="001A2DFB">
              <w:rPr>
                <w:rFonts w:ascii="Lucida Sans Unicode" w:eastAsia="Times New Roman" w:hAnsi="Lucida Sans Unicode" w:cs="Lucida Sans Unicode"/>
                <w:b/>
                <w:bCs/>
                <w:color w:val="184884"/>
                <w:kern w:val="24"/>
                <w:sz w:val="20"/>
                <w:szCs w:val="20"/>
              </w:rPr>
              <w:t>Dealer</w:t>
            </w:r>
          </w:p>
        </w:tc>
      </w:tr>
    </w:tbl>
    <w:p w:rsidR="007F31D5" w:rsidRDefault="007F31D5" w:rsidP="007F683D">
      <w:pPr>
        <w:spacing w:after="0" w:line="240" w:lineRule="auto"/>
        <w:rPr>
          <w:sz w:val="24"/>
          <w:szCs w:val="24"/>
        </w:rPr>
      </w:pPr>
    </w:p>
    <w:p w:rsidR="003D030A" w:rsidRDefault="00D227E9" w:rsidP="007F683D">
      <w:pPr>
        <w:spacing w:after="0" w:line="240" w:lineRule="auto"/>
        <w:rPr>
          <w:sz w:val="26"/>
          <w:szCs w:val="26"/>
        </w:rPr>
      </w:pPr>
      <w:r w:rsidRPr="005C4EF2">
        <w:rPr>
          <w:sz w:val="26"/>
          <w:szCs w:val="26"/>
        </w:rPr>
        <w:t>Both coun</w:t>
      </w:r>
      <w:r w:rsidR="001A2DFB" w:rsidRPr="005C4EF2">
        <w:rPr>
          <w:sz w:val="26"/>
          <w:szCs w:val="26"/>
        </w:rPr>
        <w:t>tries saw a continued downtrend</w:t>
      </w:r>
      <w:r w:rsidRPr="005C4EF2">
        <w:rPr>
          <w:sz w:val="26"/>
          <w:szCs w:val="26"/>
        </w:rPr>
        <w:t xml:space="preserve"> for the number of</w:t>
      </w:r>
      <w:r w:rsidR="00453B9A" w:rsidRPr="005C4EF2">
        <w:rPr>
          <w:sz w:val="26"/>
          <w:szCs w:val="26"/>
        </w:rPr>
        <w:t xml:space="preserve"> </w:t>
      </w:r>
      <w:r w:rsidRPr="005C4EF2">
        <w:rPr>
          <w:sz w:val="26"/>
          <w:szCs w:val="26"/>
        </w:rPr>
        <w:t xml:space="preserve">collision repair facilities, </w:t>
      </w:r>
      <w:r w:rsidR="001A2DFB" w:rsidRPr="005C4EF2">
        <w:rPr>
          <w:sz w:val="26"/>
          <w:szCs w:val="26"/>
        </w:rPr>
        <w:t xml:space="preserve">although this downturn has slowed in recent years. </w:t>
      </w:r>
      <w:r w:rsidR="002A20C9" w:rsidRPr="005C4EF2">
        <w:rPr>
          <w:sz w:val="26"/>
          <w:szCs w:val="26"/>
        </w:rPr>
        <w:t xml:space="preserve">In 2006 there were approximately 45,000 </w:t>
      </w:r>
      <w:r w:rsidR="00E310D6" w:rsidRPr="005C4EF2">
        <w:rPr>
          <w:sz w:val="26"/>
          <w:szCs w:val="26"/>
        </w:rPr>
        <w:t xml:space="preserve">U.S. </w:t>
      </w:r>
      <w:r w:rsidR="002A20C9" w:rsidRPr="005C4EF2">
        <w:rPr>
          <w:sz w:val="26"/>
          <w:szCs w:val="26"/>
        </w:rPr>
        <w:t>collision repairers averaging $666,000 in revenue annually versus about 32,900 locations in 2015 averaging</w:t>
      </w:r>
      <w:r w:rsidR="00793F6C" w:rsidRPr="005C4EF2">
        <w:rPr>
          <w:sz w:val="26"/>
          <w:szCs w:val="26"/>
        </w:rPr>
        <w:t xml:space="preserve"> $1,036,474 in annual revenue. </w:t>
      </w:r>
      <w:r w:rsidR="00E310D6" w:rsidRPr="005C4EF2">
        <w:rPr>
          <w:sz w:val="26"/>
          <w:szCs w:val="26"/>
        </w:rPr>
        <w:t>Canada</w:t>
      </w:r>
      <w:r w:rsidR="0005228F" w:rsidRPr="005C4EF2">
        <w:rPr>
          <w:sz w:val="26"/>
          <w:szCs w:val="26"/>
        </w:rPr>
        <w:t>’s repair location</w:t>
      </w:r>
      <w:r w:rsidR="00E310D6" w:rsidRPr="005C4EF2">
        <w:rPr>
          <w:sz w:val="26"/>
          <w:szCs w:val="26"/>
        </w:rPr>
        <w:t xml:space="preserve"> population has seen </w:t>
      </w:r>
      <w:r w:rsidR="0005228F" w:rsidRPr="005C4EF2">
        <w:rPr>
          <w:sz w:val="26"/>
          <w:szCs w:val="26"/>
        </w:rPr>
        <w:t xml:space="preserve">a reduction of </w:t>
      </w:r>
      <w:r w:rsidR="00E310D6" w:rsidRPr="005C4EF2">
        <w:rPr>
          <w:sz w:val="26"/>
          <w:szCs w:val="26"/>
        </w:rPr>
        <w:t>more than</w:t>
      </w:r>
      <w:r w:rsidR="0005228F" w:rsidRPr="005C4EF2">
        <w:rPr>
          <w:sz w:val="26"/>
          <w:szCs w:val="26"/>
        </w:rPr>
        <w:t xml:space="preserve"> </w:t>
      </w:r>
      <w:r w:rsidR="00E310D6" w:rsidRPr="005C4EF2">
        <w:rPr>
          <w:sz w:val="26"/>
          <w:szCs w:val="26"/>
        </w:rPr>
        <w:t>50</w:t>
      </w:r>
      <w:r w:rsidR="0005228F" w:rsidRPr="005C4EF2">
        <w:rPr>
          <w:sz w:val="26"/>
          <w:szCs w:val="26"/>
        </w:rPr>
        <w:t xml:space="preserve"> percent</w:t>
      </w:r>
      <w:r w:rsidR="00E310D6" w:rsidRPr="005C4EF2">
        <w:rPr>
          <w:sz w:val="26"/>
          <w:szCs w:val="26"/>
        </w:rPr>
        <w:t xml:space="preserve"> since 2012</w:t>
      </w:r>
      <w:r w:rsidR="0005228F" w:rsidRPr="005C4EF2">
        <w:rPr>
          <w:sz w:val="26"/>
          <w:szCs w:val="26"/>
        </w:rPr>
        <w:t>, with</w:t>
      </w:r>
      <w:r w:rsidR="00E310D6" w:rsidRPr="005C4EF2">
        <w:rPr>
          <w:sz w:val="26"/>
          <w:szCs w:val="26"/>
        </w:rPr>
        <w:t xml:space="preserve"> 4</w:t>
      </w:r>
      <w:r w:rsidR="0005228F" w:rsidRPr="005C4EF2">
        <w:rPr>
          <w:sz w:val="26"/>
          <w:szCs w:val="26"/>
        </w:rPr>
        <w:t>,</w:t>
      </w:r>
      <w:r w:rsidR="00E310D6" w:rsidRPr="005C4EF2">
        <w:rPr>
          <w:sz w:val="26"/>
          <w:szCs w:val="26"/>
        </w:rPr>
        <w:t>900 locations averaging about $</w:t>
      </w:r>
      <w:r w:rsidR="001A70C3" w:rsidRPr="005C4EF2">
        <w:rPr>
          <w:sz w:val="26"/>
          <w:szCs w:val="26"/>
        </w:rPr>
        <w:t>427,959</w:t>
      </w:r>
      <w:r w:rsidR="00E310D6" w:rsidRPr="005C4EF2">
        <w:rPr>
          <w:sz w:val="26"/>
          <w:szCs w:val="26"/>
        </w:rPr>
        <w:t xml:space="preserve"> </w:t>
      </w:r>
      <w:r w:rsidR="0005228F" w:rsidRPr="005C4EF2">
        <w:rPr>
          <w:sz w:val="26"/>
          <w:szCs w:val="26"/>
        </w:rPr>
        <w:t>in</w:t>
      </w:r>
      <w:r w:rsidR="00E310D6" w:rsidRPr="005C4EF2">
        <w:rPr>
          <w:sz w:val="26"/>
          <w:szCs w:val="26"/>
        </w:rPr>
        <w:t xml:space="preserve"> 2015. </w:t>
      </w:r>
    </w:p>
    <w:p w:rsidR="005C4EF2" w:rsidRPr="005C4EF2" w:rsidRDefault="005C4EF2" w:rsidP="007F683D">
      <w:pPr>
        <w:spacing w:after="0" w:line="240" w:lineRule="auto"/>
        <w:rPr>
          <w:sz w:val="26"/>
          <w:szCs w:val="26"/>
        </w:rPr>
      </w:pPr>
    </w:p>
    <w:p w:rsidR="00CF603B" w:rsidRDefault="00CF603B" w:rsidP="007F683D">
      <w:pPr>
        <w:spacing w:after="0" w:line="240" w:lineRule="auto"/>
        <w:rPr>
          <w:sz w:val="24"/>
          <w:szCs w:val="24"/>
        </w:rPr>
      </w:pPr>
    </w:p>
    <w:p w:rsidR="00E310D6" w:rsidRDefault="00656AE6" w:rsidP="007F683D">
      <w:pPr>
        <w:spacing w:after="0" w:line="240" w:lineRule="auto"/>
        <w:rPr>
          <w:sz w:val="24"/>
          <w:szCs w:val="24"/>
        </w:rPr>
      </w:pPr>
      <w:r w:rsidRPr="003F664D">
        <w:rPr>
          <w:noProof/>
          <w:sz w:val="28"/>
          <w:szCs w:val="28"/>
          <w:bdr w:val="single" w:sz="4" w:space="0" w:color="auto"/>
        </w:rPr>
        <w:lastRenderedPageBreak/>
        <w:drawing>
          <wp:inline distT="0" distB="0" distL="0" distR="0" wp14:anchorId="36221D3D" wp14:editId="55C8802E">
            <wp:extent cx="5905500" cy="2800350"/>
            <wp:effectExtent l="0" t="0" r="0" b="0"/>
            <wp:docPr id="12"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F603B" w:rsidRDefault="00CF603B" w:rsidP="007F683D">
      <w:pPr>
        <w:spacing w:after="0" w:line="240" w:lineRule="auto"/>
        <w:jc w:val="both"/>
        <w:rPr>
          <w:sz w:val="26"/>
          <w:szCs w:val="26"/>
        </w:rPr>
      </w:pPr>
    </w:p>
    <w:p w:rsidR="00E02686" w:rsidRPr="005C4EF2" w:rsidRDefault="00E02686" w:rsidP="007F683D">
      <w:pPr>
        <w:spacing w:after="0" w:line="240" w:lineRule="auto"/>
        <w:jc w:val="both"/>
        <w:rPr>
          <w:sz w:val="26"/>
          <w:szCs w:val="26"/>
        </w:rPr>
      </w:pPr>
      <w:r w:rsidRPr="005C4EF2">
        <w:rPr>
          <w:sz w:val="26"/>
          <w:szCs w:val="26"/>
        </w:rPr>
        <w:t xml:space="preserve">When comparing the market size and share for the property and casualty insurance and auto repair segments for the U.S. and Canada, we continue to see two very different and divergent markets. The U.S. collision repair market size is </w:t>
      </w:r>
      <w:r w:rsidR="00861BE0" w:rsidRPr="005C4EF2">
        <w:rPr>
          <w:sz w:val="26"/>
          <w:szCs w:val="26"/>
        </w:rPr>
        <w:t>15</w:t>
      </w:r>
      <w:r w:rsidRPr="005C4EF2">
        <w:rPr>
          <w:sz w:val="26"/>
          <w:szCs w:val="26"/>
        </w:rPr>
        <w:t xml:space="preserve"> times the size of the Canadian market. Canada’s Top 10 private insurers have a 78.7 percent premium market share, up from their 77.1 percent share in 2014, as compared to the U.S. insurers’ share of 71.1 percent.</w:t>
      </w:r>
      <w:r w:rsidR="00793F6C" w:rsidRPr="005C4EF2">
        <w:rPr>
          <w:sz w:val="26"/>
          <w:szCs w:val="26"/>
        </w:rPr>
        <w:t xml:space="preserve"> </w:t>
      </w:r>
      <w:r w:rsidRPr="005C4EF2">
        <w:rPr>
          <w:sz w:val="26"/>
          <w:szCs w:val="26"/>
        </w:rPr>
        <w:t xml:space="preserve">Both countries saw a continued downtrend in the number of collision repair facilities, although the decline has slowed somewhat since 2010.  </w:t>
      </w:r>
    </w:p>
    <w:p w:rsidR="007F683D" w:rsidRPr="005C4EF2" w:rsidRDefault="007F683D" w:rsidP="007F683D">
      <w:pPr>
        <w:spacing w:after="0" w:line="240" w:lineRule="auto"/>
        <w:jc w:val="both"/>
        <w:rPr>
          <w:sz w:val="26"/>
          <w:szCs w:val="26"/>
        </w:rPr>
      </w:pPr>
    </w:p>
    <w:p w:rsidR="00524766" w:rsidRPr="005C4EF2" w:rsidRDefault="00524766" w:rsidP="007F683D">
      <w:pPr>
        <w:spacing w:after="0" w:line="240" w:lineRule="auto"/>
        <w:jc w:val="both"/>
        <w:rPr>
          <w:sz w:val="26"/>
          <w:szCs w:val="26"/>
        </w:rPr>
      </w:pPr>
      <w:r w:rsidRPr="005C4EF2">
        <w:rPr>
          <w:sz w:val="26"/>
          <w:szCs w:val="26"/>
        </w:rPr>
        <w:t xml:space="preserve">Although the U.S. has seen an increase in its consolidation within the MLO segments, Canada remains significantly more consolidated in the revenue generated by MLOs at </w:t>
      </w:r>
      <w:r w:rsidR="00861BE0" w:rsidRPr="005C4EF2">
        <w:rPr>
          <w:sz w:val="26"/>
          <w:szCs w:val="26"/>
        </w:rPr>
        <w:t>71.8</w:t>
      </w:r>
      <w:r w:rsidRPr="005C4EF2">
        <w:rPr>
          <w:sz w:val="26"/>
          <w:szCs w:val="26"/>
        </w:rPr>
        <w:t xml:space="preserve"> percent share versus 29.8 percent for the U.S. market.   This represents increases versus 2014 of </w:t>
      </w:r>
      <w:r w:rsidR="001A70C3" w:rsidRPr="005C4EF2">
        <w:rPr>
          <w:sz w:val="26"/>
          <w:szCs w:val="26"/>
        </w:rPr>
        <w:t>1.9</w:t>
      </w:r>
      <w:r w:rsidRPr="005C4EF2">
        <w:rPr>
          <w:sz w:val="26"/>
          <w:szCs w:val="26"/>
        </w:rPr>
        <w:t xml:space="preserve"> </w:t>
      </w:r>
      <w:r w:rsidR="0005228F" w:rsidRPr="005C4EF2">
        <w:rPr>
          <w:sz w:val="26"/>
          <w:szCs w:val="26"/>
        </w:rPr>
        <w:t>and 3.</w:t>
      </w:r>
      <w:r w:rsidR="001A70C3" w:rsidRPr="005C4EF2">
        <w:rPr>
          <w:sz w:val="26"/>
          <w:szCs w:val="26"/>
        </w:rPr>
        <w:t xml:space="preserve">3 </w:t>
      </w:r>
      <w:r w:rsidRPr="005C4EF2">
        <w:rPr>
          <w:sz w:val="26"/>
          <w:szCs w:val="26"/>
        </w:rPr>
        <w:t>percent for the U.S. and Canada</w:t>
      </w:r>
      <w:r w:rsidR="0005228F" w:rsidRPr="005C4EF2">
        <w:rPr>
          <w:sz w:val="26"/>
          <w:szCs w:val="26"/>
        </w:rPr>
        <w:t xml:space="preserve"> respectively</w:t>
      </w:r>
      <w:r w:rsidRPr="005C4EF2">
        <w:rPr>
          <w:sz w:val="26"/>
          <w:szCs w:val="26"/>
        </w:rPr>
        <w:t>. The combined ≥$10M MLO, franchise and banner revenue of $11.</w:t>
      </w:r>
      <w:r w:rsidR="00861BE0" w:rsidRPr="005C4EF2">
        <w:rPr>
          <w:sz w:val="26"/>
          <w:szCs w:val="26"/>
        </w:rPr>
        <w:t>8</w:t>
      </w:r>
      <w:r w:rsidRPr="005C4EF2">
        <w:rPr>
          <w:sz w:val="26"/>
          <w:szCs w:val="26"/>
        </w:rPr>
        <w:t xml:space="preserve"> billion is now just under one</w:t>
      </w:r>
      <w:r w:rsidR="0005228F" w:rsidRPr="005C4EF2">
        <w:rPr>
          <w:sz w:val="26"/>
          <w:szCs w:val="26"/>
        </w:rPr>
        <w:t>-</w:t>
      </w:r>
      <w:r w:rsidRPr="005C4EF2">
        <w:rPr>
          <w:sz w:val="26"/>
          <w:szCs w:val="26"/>
        </w:rPr>
        <w:t>third of the combined total market revenue. The combined market size of $36.</w:t>
      </w:r>
      <w:r w:rsidR="00A3448F" w:rsidRPr="005C4EF2">
        <w:rPr>
          <w:sz w:val="26"/>
          <w:szCs w:val="26"/>
        </w:rPr>
        <w:t>4</w:t>
      </w:r>
      <w:r w:rsidRPr="005C4EF2">
        <w:rPr>
          <w:sz w:val="26"/>
          <w:szCs w:val="26"/>
        </w:rPr>
        <w:t xml:space="preserve"> billion is an increase of 3.</w:t>
      </w:r>
      <w:r w:rsidR="00A3448F" w:rsidRPr="005C4EF2">
        <w:rPr>
          <w:sz w:val="26"/>
          <w:szCs w:val="26"/>
        </w:rPr>
        <w:t>9</w:t>
      </w:r>
      <w:r w:rsidRPr="005C4EF2">
        <w:rPr>
          <w:sz w:val="26"/>
          <w:szCs w:val="26"/>
        </w:rPr>
        <w:t xml:space="preserve"> percent versus 2014.</w:t>
      </w:r>
    </w:p>
    <w:p w:rsidR="00656AE6" w:rsidRPr="005C4EF2" w:rsidRDefault="00656AE6" w:rsidP="007F683D">
      <w:pPr>
        <w:spacing w:after="0" w:line="240" w:lineRule="auto"/>
        <w:jc w:val="both"/>
        <w:rPr>
          <w:rFonts w:ascii="Calibri" w:hAnsi="Calibri"/>
          <w:sz w:val="26"/>
          <w:szCs w:val="26"/>
        </w:rPr>
      </w:pPr>
    </w:p>
    <w:p w:rsidR="00CE72EA" w:rsidRPr="005C4EF2" w:rsidRDefault="00597F2D" w:rsidP="007F683D">
      <w:pPr>
        <w:spacing w:after="0" w:line="240" w:lineRule="auto"/>
        <w:jc w:val="both"/>
        <w:rPr>
          <w:rFonts w:ascii="Calibri" w:hAnsi="Calibri"/>
          <w:sz w:val="26"/>
          <w:szCs w:val="26"/>
        </w:rPr>
      </w:pPr>
      <w:r w:rsidRPr="005C4EF2">
        <w:rPr>
          <w:rFonts w:ascii="Calibri" w:hAnsi="Calibri"/>
          <w:sz w:val="26"/>
          <w:szCs w:val="26"/>
        </w:rPr>
        <w:t>Our annual</w:t>
      </w:r>
      <w:r w:rsidR="00656AE6" w:rsidRPr="005C4EF2">
        <w:rPr>
          <w:rFonts w:ascii="Calibri" w:hAnsi="Calibri"/>
          <w:sz w:val="26"/>
          <w:szCs w:val="26"/>
        </w:rPr>
        <w:t xml:space="preserve"> research</w:t>
      </w:r>
      <w:r w:rsidRPr="005C4EF2">
        <w:rPr>
          <w:rFonts w:ascii="Calibri" w:hAnsi="Calibri"/>
          <w:sz w:val="26"/>
          <w:szCs w:val="26"/>
        </w:rPr>
        <w:t xml:space="preserve"> report, </w:t>
      </w:r>
      <w:r w:rsidR="00E41E4F" w:rsidRPr="005C4EF2">
        <w:rPr>
          <w:rFonts w:ascii="Calibri" w:hAnsi="Calibri"/>
          <w:i/>
          <w:sz w:val="26"/>
          <w:szCs w:val="26"/>
        </w:rPr>
        <w:t xml:space="preserve">A </w:t>
      </w:r>
      <w:r w:rsidRPr="005C4EF2">
        <w:rPr>
          <w:i/>
          <w:sz w:val="26"/>
          <w:szCs w:val="26"/>
        </w:rPr>
        <w:t>2015 Profile of the Evolving North American Collision Repair Marketplace</w:t>
      </w:r>
      <w:r w:rsidRPr="005C4EF2">
        <w:rPr>
          <w:sz w:val="26"/>
          <w:szCs w:val="26"/>
        </w:rPr>
        <w:t xml:space="preserve">, is now available. </w:t>
      </w:r>
      <w:r w:rsidR="0005228F" w:rsidRPr="00191BA5">
        <w:rPr>
          <w:sz w:val="26"/>
          <w:szCs w:val="26"/>
        </w:rPr>
        <w:t>The report</w:t>
      </w:r>
      <w:r w:rsidR="00540393" w:rsidRPr="00191BA5">
        <w:rPr>
          <w:sz w:val="26"/>
          <w:szCs w:val="26"/>
        </w:rPr>
        <w:t xml:space="preserve"> is the result of our ongoing</w:t>
      </w:r>
      <w:r w:rsidR="00191BA5" w:rsidRPr="00191BA5">
        <w:rPr>
          <w:sz w:val="26"/>
          <w:szCs w:val="26"/>
        </w:rPr>
        <w:t xml:space="preserve"> propriety research, analysis and collaboration with specific market </w:t>
      </w:r>
      <w:r w:rsidR="0092550E">
        <w:rPr>
          <w:sz w:val="26"/>
          <w:szCs w:val="26"/>
        </w:rPr>
        <w:t xml:space="preserve">experts and </w:t>
      </w:r>
      <w:r w:rsidR="00191BA5" w:rsidRPr="00191BA5">
        <w:rPr>
          <w:sz w:val="26"/>
          <w:szCs w:val="26"/>
        </w:rPr>
        <w:t xml:space="preserve">leadership throughout various </w:t>
      </w:r>
      <w:r w:rsidR="00540393" w:rsidRPr="00191BA5">
        <w:rPr>
          <w:sz w:val="26"/>
          <w:szCs w:val="26"/>
        </w:rPr>
        <w:t xml:space="preserve">auto physical </w:t>
      </w:r>
      <w:r w:rsidR="00191BA5" w:rsidRPr="00191BA5">
        <w:rPr>
          <w:sz w:val="26"/>
          <w:szCs w:val="26"/>
        </w:rPr>
        <w:t>damage segments</w:t>
      </w:r>
      <w:r w:rsidR="00540393" w:rsidRPr="00191BA5">
        <w:rPr>
          <w:sz w:val="26"/>
          <w:szCs w:val="26"/>
        </w:rPr>
        <w:t>.  It</w:t>
      </w:r>
      <w:r w:rsidR="0005228F" w:rsidRPr="00191BA5">
        <w:rPr>
          <w:sz w:val="26"/>
          <w:szCs w:val="26"/>
        </w:rPr>
        <w:t xml:space="preserve"> </w:t>
      </w:r>
      <w:r w:rsidR="00180C7F" w:rsidRPr="00191BA5">
        <w:rPr>
          <w:rFonts w:ascii="Calibri" w:hAnsi="Calibri"/>
          <w:sz w:val="26"/>
          <w:szCs w:val="26"/>
        </w:rPr>
        <w:t>present</w:t>
      </w:r>
      <w:r w:rsidRPr="00191BA5">
        <w:rPr>
          <w:rFonts w:ascii="Calibri" w:hAnsi="Calibri"/>
          <w:sz w:val="26"/>
          <w:szCs w:val="26"/>
        </w:rPr>
        <w:t xml:space="preserve">s </w:t>
      </w:r>
      <w:r w:rsidR="0005228F" w:rsidRPr="00191BA5">
        <w:rPr>
          <w:rFonts w:ascii="Calibri" w:hAnsi="Calibri"/>
          <w:sz w:val="26"/>
          <w:szCs w:val="26"/>
        </w:rPr>
        <w:t>the complete results of our</w:t>
      </w:r>
      <w:r w:rsidRPr="00191BA5">
        <w:rPr>
          <w:rFonts w:ascii="Calibri" w:hAnsi="Calibri"/>
          <w:sz w:val="26"/>
          <w:szCs w:val="26"/>
        </w:rPr>
        <w:t xml:space="preserve"> </w:t>
      </w:r>
      <w:r w:rsidR="00180C7F" w:rsidRPr="00191BA5">
        <w:rPr>
          <w:rFonts w:ascii="Calibri" w:hAnsi="Calibri"/>
          <w:sz w:val="26"/>
          <w:szCs w:val="26"/>
        </w:rPr>
        <w:t>work</w:t>
      </w:r>
      <w:r w:rsidRPr="00191BA5">
        <w:rPr>
          <w:rFonts w:ascii="Calibri" w:hAnsi="Calibri"/>
          <w:sz w:val="26"/>
          <w:szCs w:val="26"/>
        </w:rPr>
        <w:t xml:space="preserve"> </w:t>
      </w:r>
      <w:r w:rsidR="0005228F" w:rsidRPr="00191BA5">
        <w:rPr>
          <w:rFonts w:ascii="Calibri" w:hAnsi="Calibri"/>
          <w:sz w:val="26"/>
          <w:szCs w:val="26"/>
        </w:rPr>
        <w:t xml:space="preserve">for 2015 </w:t>
      </w:r>
      <w:r w:rsidR="00180C7F" w:rsidRPr="00191BA5">
        <w:rPr>
          <w:rFonts w:ascii="Calibri" w:hAnsi="Calibri"/>
          <w:sz w:val="26"/>
          <w:szCs w:val="26"/>
        </w:rPr>
        <w:t>in</w:t>
      </w:r>
      <w:r w:rsidR="0005228F" w:rsidRPr="00191BA5">
        <w:rPr>
          <w:rFonts w:ascii="Calibri" w:hAnsi="Calibri"/>
          <w:sz w:val="26"/>
          <w:szCs w:val="26"/>
        </w:rPr>
        <w:t xml:space="preserve"> </w:t>
      </w:r>
      <w:r w:rsidR="00656AE6" w:rsidRPr="00191BA5">
        <w:rPr>
          <w:rFonts w:ascii="Calibri" w:hAnsi="Calibri"/>
          <w:sz w:val="26"/>
          <w:szCs w:val="26"/>
        </w:rPr>
        <w:t>over 40</w:t>
      </w:r>
      <w:r w:rsidR="007F253F" w:rsidRPr="00191BA5">
        <w:rPr>
          <w:rFonts w:ascii="Calibri" w:hAnsi="Calibri"/>
          <w:sz w:val="26"/>
          <w:szCs w:val="26"/>
        </w:rPr>
        <w:t xml:space="preserve"> charts and graphs</w:t>
      </w:r>
      <w:r w:rsidR="00656AE6" w:rsidRPr="00191BA5">
        <w:rPr>
          <w:rFonts w:ascii="Calibri" w:hAnsi="Calibri"/>
          <w:sz w:val="26"/>
          <w:szCs w:val="26"/>
        </w:rPr>
        <w:t xml:space="preserve"> in</w:t>
      </w:r>
      <w:r w:rsidR="007F253F" w:rsidRPr="00191BA5">
        <w:rPr>
          <w:rFonts w:ascii="Calibri" w:hAnsi="Calibri"/>
          <w:sz w:val="26"/>
          <w:szCs w:val="26"/>
        </w:rPr>
        <w:t xml:space="preserve"> </w:t>
      </w:r>
      <w:r w:rsidR="00CD2148" w:rsidRPr="00191BA5">
        <w:rPr>
          <w:rFonts w:ascii="Calibri" w:hAnsi="Calibri"/>
          <w:sz w:val="26"/>
          <w:szCs w:val="26"/>
        </w:rPr>
        <w:t>47</w:t>
      </w:r>
      <w:r w:rsidR="007F253F" w:rsidRPr="00191BA5">
        <w:rPr>
          <w:rFonts w:ascii="Calibri" w:hAnsi="Calibri"/>
          <w:sz w:val="26"/>
          <w:szCs w:val="26"/>
        </w:rPr>
        <w:t xml:space="preserve"> pages</w:t>
      </w:r>
      <w:r w:rsidR="00180C7F" w:rsidRPr="00191BA5">
        <w:rPr>
          <w:rFonts w:ascii="Calibri" w:hAnsi="Calibri"/>
          <w:sz w:val="26"/>
          <w:szCs w:val="26"/>
        </w:rPr>
        <w:t xml:space="preserve"> and</w:t>
      </w:r>
      <w:r w:rsidR="007F253F" w:rsidRPr="00191BA5">
        <w:rPr>
          <w:rFonts w:ascii="Calibri" w:hAnsi="Calibri"/>
          <w:sz w:val="26"/>
          <w:szCs w:val="26"/>
        </w:rPr>
        <w:t xml:space="preserve"> </w:t>
      </w:r>
      <w:r w:rsidR="00540393" w:rsidRPr="00191BA5">
        <w:rPr>
          <w:rFonts w:ascii="Calibri" w:hAnsi="Calibri"/>
          <w:sz w:val="26"/>
          <w:szCs w:val="26"/>
        </w:rPr>
        <w:t>includ</w:t>
      </w:r>
      <w:r w:rsidR="00180C7F" w:rsidRPr="00191BA5">
        <w:rPr>
          <w:rFonts w:ascii="Calibri" w:hAnsi="Calibri"/>
          <w:sz w:val="26"/>
          <w:szCs w:val="26"/>
        </w:rPr>
        <w:t>es</w:t>
      </w:r>
      <w:r w:rsidR="007F253F" w:rsidRPr="00191BA5">
        <w:rPr>
          <w:rFonts w:ascii="Calibri" w:hAnsi="Calibri"/>
          <w:sz w:val="26"/>
          <w:szCs w:val="26"/>
        </w:rPr>
        <w:t xml:space="preserve"> </w:t>
      </w:r>
      <w:r w:rsidR="0005228F" w:rsidRPr="00191BA5">
        <w:rPr>
          <w:rFonts w:ascii="Calibri" w:hAnsi="Calibri"/>
          <w:sz w:val="26"/>
          <w:szCs w:val="26"/>
        </w:rPr>
        <w:t>historical trends and a future view</w:t>
      </w:r>
      <w:r w:rsidR="00CE72EA" w:rsidRPr="00191BA5">
        <w:rPr>
          <w:rFonts w:ascii="Calibri" w:hAnsi="Calibri"/>
          <w:sz w:val="26"/>
          <w:szCs w:val="26"/>
        </w:rPr>
        <w:t>.</w:t>
      </w:r>
      <w:r w:rsidR="00CE72EA" w:rsidRPr="005C4EF2">
        <w:rPr>
          <w:rFonts w:ascii="Calibri" w:hAnsi="Calibri"/>
          <w:sz w:val="26"/>
          <w:szCs w:val="26"/>
        </w:rPr>
        <w:t xml:space="preserve">  </w:t>
      </w:r>
    </w:p>
    <w:p w:rsidR="007F683D" w:rsidRPr="005C4EF2" w:rsidRDefault="007F683D" w:rsidP="007F683D">
      <w:pPr>
        <w:spacing w:after="0" w:line="240" w:lineRule="auto"/>
        <w:jc w:val="both"/>
        <w:rPr>
          <w:rFonts w:ascii="Calibri" w:hAnsi="Calibri"/>
          <w:sz w:val="26"/>
          <w:szCs w:val="26"/>
        </w:rPr>
      </w:pPr>
    </w:p>
    <w:p w:rsidR="001B3E98" w:rsidRPr="00CF603B" w:rsidRDefault="00CE72EA" w:rsidP="00CF603B">
      <w:pPr>
        <w:spacing w:after="0" w:line="240" w:lineRule="auto"/>
        <w:jc w:val="both"/>
        <w:rPr>
          <w:rFonts w:ascii="Calibri" w:hAnsi="Calibri"/>
          <w:sz w:val="26"/>
          <w:szCs w:val="26"/>
        </w:rPr>
      </w:pPr>
      <w:r w:rsidRPr="005C4EF2">
        <w:rPr>
          <w:rFonts w:ascii="Calibri" w:hAnsi="Calibri"/>
          <w:sz w:val="26"/>
          <w:szCs w:val="26"/>
        </w:rPr>
        <w:t>The report can be purchased by contacting</w:t>
      </w:r>
      <w:r w:rsidR="00874E12" w:rsidRPr="005C4EF2">
        <w:rPr>
          <w:rFonts w:ascii="Calibri" w:hAnsi="Calibri"/>
          <w:sz w:val="26"/>
          <w:szCs w:val="26"/>
        </w:rPr>
        <w:t xml:space="preserve"> The Romans Group LLC at 847.382.6208 or</w:t>
      </w:r>
      <w:r w:rsidRPr="005C4EF2">
        <w:rPr>
          <w:rFonts w:ascii="Calibri" w:hAnsi="Calibri"/>
          <w:sz w:val="26"/>
          <w:szCs w:val="26"/>
        </w:rPr>
        <w:t xml:space="preserve"> Mary</w:t>
      </w:r>
      <w:r w:rsidR="0005228F" w:rsidRPr="005C4EF2">
        <w:rPr>
          <w:rFonts w:ascii="Calibri" w:hAnsi="Calibri"/>
          <w:sz w:val="26"/>
          <w:szCs w:val="26"/>
        </w:rPr>
        <w:t xml:space="preserve"> J</w:t>
      </w:r>
      <w:r w:rsidRPr="005C4EF2">
        <w:rPr>
          <w:rFonts w:ascii="Calibri" w:hAnsi="Calibri"/>
          <w:sz w:val="26"/>
          <w:szCs w:val="26"/>
        </w:rPr>
        <w:t>ane Kurowski</w:t>
      </w:r>
      <w:r w:rsidR="0005228F" w:rsidRPr="005C4EF2">
        <w:rPr>
          <w:rFonts w:ascii="Calibri" w:hAnsi="Calibri"/>
          <w:sz w:val="26"/>
          <w:szCs w:val="26"/>
        </w:rPr>
        <w:t xml:space="preserve"> at</w:t>
      </w:r>
      <w:r w:rsidRPr="005C4EF2">
        <w:rPr>
          <w:rFonts w:ascii="Calibri" w:hAnsi="Calibri"/>
          <w:sz w:val="26"/>
          <w:szCs w:val="26"/>
        </w:rPr>
        <w:t xml:space="preserve"> </w:t>
      </w:r>
      <w:hyperlink r:id="rId8" w:history="1">
        <w:r w:rsidR="00553A44" w:rsidRPr="005C4EF2">
          <w:rPr>
            <w:rStyle w:val="Hyperlink"/>
            <w:rFonts w:ascii="Calibri" w:hAnsi="Calibri"/>
            <w:sz w:val="26"/>
            <w:szCs w:val="26"/>
          </w:rPr>
          <w:t>maryjane@romans-group.com</w:t>
        </w:r>
      </w:hyperlink>
    </w:p>
    <w:sectPr w:rsidR="001B3E98" w:rsidRPr="00CF603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FA0" w:rsidRDefault="00B17FA0" w:rsidP="009135CF">
      <w:pPr>
        <w:spacing w:after="0" w:line="240" w:lineRule="auto"/>
      </w:pPr>
      <w:r>
        <w:separator/>
      </w:r>
    </w:p>
  </w:endnote>
  <w:endnote w:type="continuationSeparator" w:id="0">
    <w:p w:rsidR="00B17FA0" w:rsidRDefault="00B17FA0" w:rsidP="00913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FA0" w:rsidRDefault="00B17FA0" w:rsidP="009135CF">
      <w:pPr>
        <w:spacing w:after="0" w:line="240" w:lineRule="auto"/>
      </w:pPr>
      <w:r>
        <w:separator/>
      </w:r>
    </w:p>
  </w:footnote>
  <w:footnote w:type="continuationSeparator" w:id="0">
    <w:p w:rsidR="00B17FA0" w:rsidRDefault="00B17FA0" w:rsidP="009135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5CF" w:rsidRPr="00E41E4F" w:rsidRDefault="009135CF" w:rsidP="009135CF">
    <w:pPr>
      <w:spacing w:after="0" w:line="240" w:lineRule="auto"/>
      <w:jc w:val="center"/>
      <w:rPr>
        <w:rFonts w:ascii="Verdana" w:eastAsia="Times New Roman" w:hAnsi="Verdana" w:cs="Times New Roman"/>
        <w:b/>
        <w:color w:val="003366"/>
        <w:sz w:val="36"/>
        <w:szCs w:val="36"/>
      </w:rPr>
    </w:pPr>
    <w:r>
      <w:rPr>
        <w:rFonts w:ascii="Verdana" w:eastAsia="Times New Roman" w:hAnsi="Verdana" w:cs="Times New Roman"/>
        <w:b/>
        <w:smallCaps/>
        <w:noProof/>
        <w:color w:val="003366"/>
        <w:sz w:val="36"/>
        <w:szCs w:val="36"/>
      </w:rPr>
      <mc:AlternateContent>
        <mc:Choice Requires="wps">
          <w:drawing>
            <wp:anchor distT="0" distB="0" distL="114300" distR="114300" simplePos="0" relativeHeight="251660288" behindDoc="0" locked="0" layoutInCell="1" allowOverlap="1" wp14:anchorId="381DB8EF" wp14:editId="674C85A9">
              <wp:simplePos x="0" y="0"/>
              <wp:positionH relativeFrom="column">
                <wp:posOffset>4438650</wp:posOffset>
              </wp:positionH>
              <wp:positionV relativeFrom="paragraph">
                <wp:posOffset>237490</wp:posOffset>
              </wp:positionV>
              <wp:extent cx="1733550" cy="0"/>
              <wp:effectExtent l="38100" t="57150" r="76200" b="114300"/>
              <wp:wrapNone/>
              <wp:docPr id="9" name="Straight Connector 9"/>
              <wp:cNvGraphicFramePr/>
              <a:graphic xmlns:a="http://schemas.openxmlformats.org/drawingml/2006/main">
                <a:graphicData uri="http://schemas.microsoft.com/office/word/2010/wordprocessingShape">
                  <wps:wsp>
                    <wps:cNvCnPr/>
                    <wps:spPr>
                      <a:xfrm>
                        <a:off x="0" y="0"/>
                        <a:ext cx="1733550" cy="0"/>
                      </a:xfrm>
                      <a:prstGeom prst="line">
                        <a:avLst/>
                      </a:prstGeom>
                      <a:noFill/>
                      <a:ln w="63500" cap="flat" cmpd="dbl" algn="ctr">
                        <a:solidFill>
                          <a:srgbClr val="003366"/>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F319361"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9.5pt,18.7pt" to="486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" strokecolor="#036" strokeweight="5pt">
              <v:stroke linestyle="thinThin"/>
              <v:shadow on="t" color="black" opacity="24903f" origin=",.5" offset="0,.55556mm"/>
            </v:line>
          </w:pict>
        </mc:Fallback>
      </mc:AlternateContent>
    </w:r>
    <w:r>
      <w:rPr>
        <w:rFonts w:ascii="Verdana" w:eastAsia="Times New Roman" w:hAnsi="Verdana" w:cs="Times New Roman"/>
        <w:b/>
        <w:smallCaps/>
        <w:noProof/>
        <w:color w:val="003366"/>
        <w:sz w:val="36"/>
        <w:szCs w:val="36"/>
      </w:rPr>
      <mc:AlternateContent>
        <mc:Choice Requires="wps">
          <w:drawing>
            <wp:anchor distT="0" distB="0" distL="114300" distR="114300" simplePos="0" relativeHeight="251659264" behindDoc="0" locked="0" layoutInCell="1" allowOverlap="1" wp14:anchorId="7DB08041" wp14:editId="773531F9">
              <wp:simplePos x="0" y="0"/>
              <wp:positionH relativeFrom="column">
                <wp:posOffset>-228600</wp:posOffset>
              </wp:positionH>
              <wp:positionV relativeFrom="paragraph">
                <wp:posOffset>198120</wp:posOffset>
              </wp:positionV>
              <wp:extent cx="1733550" cy="0"/>
              <wp:effectExtent l="38100" t="57150" r="76200" b="114300"/>
              <wp:wrapNone/>
              <wp:docPr id="10" name="Straight Connector 10"/>
              <wp:cNvGraphicFramePr/>
              <a:graphic xmlns:a="http://schemas.openxmlformats.org/drawingml/2006/main">
                <a:graphicData uri="http://schemas.microsoft.com/office/word/2010/wordprocessingShape">
                  <wps:wsp>
                    <wps:cNvCnPr/>
                    <wps:spPr>
                      <a:xfrm>
                        <a:off x="0" y="0"/>
                        <a:ext cx="1733550" cy="0"/>
                      </a:xfrm>
                      <a:prstGeom prst="line">
                        <a:avLst/>
                      </a:prstGeom>
                      <a:noFill/>
                      <a:ln w="63500" cap="flat" cmpd="dbl" algn="ctr">
                        <a:solidFill>
                          <a:srgbClr val="003366"/>
                        </a:solidFill>
                        <a:prstDash val="solid"/>
                      </a:ln>
                      <a:effectLst>
                        <a:outerShdw blurRad="40000" dist="20000" dir="5400000" rotWithShape="0">
                          <a:srgbClr val="000000">
                            <a:alpha val="38000"/>
                          </a:srgbClr>
                        </a:outerShdw>
                      </a:effectLst>
                    </wps:spPr>
                    <wps:bodyPr/>
                  </wps:wsp>
                </a:graphicData>
              </a:graphic>
            </wp:anchor>
          </w:drawing>
        </mc:Choice>
        <mc:Fallback>
          <w:pict>
            <v:line w14:anchorId="5741C9FD"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15.6pt" to="118.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" strokecolor="#036" strokeweight="5pt">
              <v:stroke linestyle="thinThin"/>
              <v:shadow on="t" color="black" opacity="24903f" origin=",.5" offset="0,.55556mm"/>
            </v:line>
          </w:pict>
        </mc:Fallback>
      </mc:AlternateContent>
    </w:r>
    <w:r w:rsidRPr="00E41E4F">
      <w:rPr>
        <w:rFonts w:ascii="Verdana" w:eastAsia="Times New Roman" w:hAnsi="Verdana" w:cs="Times New Roman"/>
        <w:b/>
        <w:smallCaps/>
        <w:color w:val="003366"/>
        <w:sz w:val="36"/>
        <w:szCs w:val="36"/>
      </w:rPr>
      <w:t>The Romans Group</w:t>
    </w:r>
    <w:r w:rsidRPr="00E41E4F">
      <w:rPr>
        <w:rFonts w:ascii="Verdana" w:eastAsia="Times New Roman" w:hAnsi="Verdana" w:cs="Times New Roman"/>
        <w:b/>
        <w:color w:val="003366"/>
        <w:sz w:val="36"/>
        <w:szCs w:val="36"/>
      </w:rPr>
      <w:t xml:space="preserve"> LLC</w:t>
    </w:r>
  </w:p>
  <w:p w:rsidR="009135CF" w:rsidRPr="00E41E4F" w:rsidRDefault="009135CF" w:rsidP="009135CF">
    <w:pPr>
      <w:spacing w:after="0" w:line="240" w:lineRule="auto"/>
      <w:jc w:val="center"/>
      <w:rPr>
        <w:rFonts w:ascii="Arial" w:eastAsia="Times New Roman" w:hAnsi="Arial" w:cs="Times New Roman"/>
        <w:i/>
        <w:color w:val="003366"/>
        <w:sz w:val="24"/>
        <w:szCs w:val="24"/>
      </w:rPr>
    </w:pPr>
    <w:r w:rsidRPr="00E41E4F">
      <w:rPr>
        <w:rFonts w:ascii="Arial" w:eastAsia="Times New Roman" w:hAnsi="Arial" w:cs="Times New Roman"/>
        <w:i/>
        <w:color w:val="003366"/>
        <w:sz w:val="24"/>
        <w:szCs w:val="24"/>
      </w:rPr>
      <w:t>Business, Market, Strategy Development</w:t>
    </w:r>
  </w:p>
  <w:p w:rsidR="009135CF" w:rsidRDefault="009135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231602"/>
    <w:multiLevelType w:val="hybridMultilevel"/>
    <w:tmpl w:val="16066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30A"/>
    <w:rsid w:val="000213E9"/>
    <w:rsid w:val="0005228F"/>
    <w:rsid w:val="000A6FFE"/>
    <w:rsid w:val="000B6CF9"/>
    <w:rsid w:val="00102BDF"/>
    <w:rsid w:val="00133415"/>
    <w:rsid w:val="00151132"/>
    <w:rsid w:val="00180C7F"/>
    <w:rsid w:val="001841E3"/>
    <w:rsid w:val="00191BA5"/>
    <w:rsid w:val="001A12BB"/>
    <w:rsid w:val="001A2DFB"/>
    <w:rsid w:val="001A70C3"/>
    <w:rsid w:val="001B3E98"/>
    <w:rsid w:val="0025706D"/>
    <w:rsid w:val="002A20C9"/>
    <w:rsid w:val="002F1A14"/>
    <w:rsid w:val="00343C3F"/>
    <w:rsid w:val="00386EA2"/>
    <w:rsid w:val="003B3BCD"/>
    <w:rsid w:val="003D030A"/>
    <w:rsid w:val="003E2E75"/>
    <w:rsid w:val="003E3DB5"/>
    <w:rsid w:val="003F7BCB"/>
    <w:rsid w:val="00404846"/>
    <w:rsid w:val="00453B9A"/>
    <w:rsid w:val="004830B0"/>
    <w:rsid w:val="00524766"/>
    <w:rsid w:val="00540393"/>
    <w:rsid w:val="0054241E"/>
    <w:rsid w:val="00553A44"/>
    <w:rsid w:val="005551B0"/>
    <w:rsid w:val="00575BA1"/>
    <w:rsid w:val="00593D76"/>
    <w:rsid w:val="00597F2D"/>
    <w:rsid w:val="005B0551"/>
    <w:rsid w:val="005C4EF2"/>
    <w:rsid w:val="00615121"/>
    <w:rsid w:val="00656AE6"/>
    <w:rsid w:val="00656B6E"/>
    <w:rsid w:val="006F5895"/>
    <w:rsid w:val="0073249E"/>
    <w:rsid w:val="0077745F"/>
    <w:rsid w:val="00783BD0"/>
    <w:rsid w:val="00793F6C"/>
    <w:rsid w:val="007C2FA2"/>
    <w:rsid w:val="007C6C27"/>
    <w:rsid w:val="007E6DD3"/>
    <w:rsid w:val="007F253F"/>
    <w:rsid w:val="007F31D5"/>
    <w:rsid w:val="007F683D"/>
    <w:rsid w:val="00861BE0"/>
    <w:rsid w:val="00874E12"/>
    <w:rsid w:val="008C66CC"/>
    <w:rsid w:val="00911DB7"/>
    <w:rsid w:val="009135CF"/>
    <w:rsid w:val="0091611F"/>
    <w:rsid w:val="0092550E"/>
    <w:rsid w:val="0097008E"/>
    <w:rsid w:val="009923E1"/>
    <w:rsid w:val="00A015F2"/>
    <w:rsid w:val="00A3448F"/>
    <w:rsid w:val="00A72863"/>
    <w:rsid w:val="00A91C7B"/>
    <w:rsid w:val="00A927F0"/>
    <w:rsid w:val="00B17FA0"/>
    <w:rsid w:val="00B253C7"/>
    <w:rsid w:val="00B8198B"/>
    <w:rsid w:val="00B84130"/>
    <w:rsid w:val="00C241CD"/>
    <w:rsid w:val="00C30324"/>
    <w:rsid w:val="00C35E30"/>
    <w:rsid w:val="00C53F80"/>
    <w:rsid w:val="00C67DBA"/>
    <w:rsid w:val="00C8127E"/>
    <w:rsid w:val="00CD1CF4"/>
    <w:rsid w:val="00CD2148"/>
    <w:rsid w:val="00CE72EA"/>
    <w:rsid w:val="00CF603B"/>
    <w:rsid w:val="00D11B42"/>
    <w:rsid w:val="00D227E9"/>
    <w:rsid w:val="00D5237D"/>
    <w:rsid w:val="00E02686"/>
    <w:rsid w:val="00E310D6"/>
    <w:rsid w:val="00E41E4F"/>
    <w:rsid w:val="00E7600F"/>
    <w:rsid w:val="00EC346A"/>
    <w:rsid w:val="00F24384"/>
    <w:rsid w:val="00F646F5"/>
    <w:rsid w:val="00FB7EDA"/>
    <w:rsid w:val="00FC71D3"/>
    <w:rsid w:val="00FE4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922989-A822-4899-A5F0-8057EAC8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0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30A"/>
    <w:rPr>
      <w:rFonts w:ascii="Tahoma" w:hAnsi="Tahoma" w:cs="Tahoma"/>
      <w:sz w:val="16"/>
      <w:szCs w:val="16"/>
    </w:rPr>
  </w:style>
  <w:style w:type="character" w:styleId="Hyperlink">
    <w:name w:val="Hyperlink"/>
    <w:basedOn w:val="DefaultParagraphFont"/>
    <w:uiPriority w:val="99"/>
    <w:unhideWhenUsed/>
    <w:rsid w:val="00553A44"/>
    <w:rPr>
      <w:color w:val="0000FF" w:themeColor="hyperlink"/>
      <w:u w:val="single"/>
    </w:rPr>
  </w:style>
  <w:style w:type="paragraph" w:styleId="Header">
    <w:name w:val="header"/>
    <w:basedOn w:val="Normal"/>
    <w:link w:val="HeaderChar"/>
    <w:uiPriority w:val="99"/>
    <w:unhideWhenUsed/>
    <w:rsid w:val="009135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5CF"/>
  </w:style>
  <w:style w:type="paragraph" w:styleId="Footer">
    <w:name w:val="footer"/>
    <w:basedOn w:val="Normal"/>
    <w:link w:val="FooterChar"/>
    <w:uiPriority w:val="99"/>
    <w:unhideWhenUsed/>
    <w:rsid w:val="009135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5CF"/>
  </w:style>
  <w:style w:type="paragraph" w:styleId="ListParagraph">
    <w:name w:val="List Paragraph"/>
    <w:basedOn w:val="Normal"/>
    <w:uiPriority w:val="34"/>
    <w:qFormat/>
    <w:rsid w:val="00575B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jane@romans-group.com" TargetMode="Externa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lgn="ctr">
              <a:defRPr/>
            </a:pPr>
            <a:r>
              <a:rPr lang="en-US"/>
              <a:t>U. S.</a:t>
            </a:r>
            <a:r>
              <a:rPr lang="en-US" baseline="0"/>
              <a:t> and </a:t>
            </a:r>
            <a:r>
              <a:rPr lang="en-US"/>
              <a:t>Canada Collision Repair Market</a:t>
            </a:r>
            <a:r>
              <a:rPr lang="en-US" baseline="0"/>
              <a:t> Size</a:t>
            </a:r>
          </a:p>
        </c:rich>
      </c:tx>
      <c:layout>
        <c:manualLayout>
          <c:xMode val="edge"/>
          <c:yMode val="edge"/>
          <c:x val="0.15053164866019694"/>
          <c:y val="2.6820289636319456E-2"/>
        </c:manualLayout>
      </c:layout>
      <c:overlay val="0"/>
    </c:title>
    <c:autoTitleDeleted val="0"/>
    <c:plotArea>
      <c:layout/>
      <c:barChart>
        <c:barDir val="col"/>
        <c:grouping val="clustered"/>
        <c:varyColors val="0"/>
        <c:ser>
          <c:idx val="0"/>
          <c:order val="0"/>
          <c:tx>
            <c:strRef>
              <c:f>Sheet1!$B$1</c:f>
              <c:strCache>
                <c:ptCount val="1"/>
                <c:pt idx="0">
                  <c:v>U.S.</c:v>
                </c:pt>
              </c:strCache>
            </c:strRef>
          </c:tx>
          <c:invertIfNegative val="0"/>
          <c:dLbls>
            <c:spPr>
              <a:noFill/>
              <a:ln>
                <a:noFill/>
              </a:ln>
              <a:effectLst/>
            </c:spPr>
            <c:txPr>
              <a:bodyPr/>
              <a:lstStyle/>
              <a:p>
                <a:pPr>
                  <a:defRPr b="1" i="0" baseline="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Sheet1!$A$2:$A$14</c:f>
              <c:numCache>
                <c:formatCode>General</c:formatCode>
                <c:ptCount val="13"/>
                <c:pt idx="0">
                  <c:v>1980</c:v>
                </c:pt>
                <c:pt idx="1">
                  <c:v>1990</c:v>
                </c:pt>
                <c:pt idx="2">
                  <c:v>1996</c:v>
                </c:pt>
                <c:pt idx="3">
                  <c:v>2006</c:v>
                </c:pt>
                <c:pt idx="4">
                  <c:v>2007</c:v>
                </c:pt>
                <c:pt idx="5">
                  <c:v>2008</c:v>
                </c:pt>
                <c:pt idx="6">
                  <c:v>2009</c:v>
                </c:pt>
                <c:pt idx="7">
                  <c:v>2010</c:v>
                </c:pt>
                <c:pt idx="8">
                  <c:v>2011</c:v>
                </c:pt>
                <c:pt idx="9">
                  <c:v>2012</c:v>
                </c:pt>
                <c:pt idx="10">
                  <c:v>2013</c:v>
                </c:pt>
                <c:pt idx="11">
                  <c:v>2014</c:v>
                </c:pt>
                <c:pt idx="12">
                  <c:v>2015</c:v>
                </c:pt>
              </c:numCache>
            </c:numRef>
          </c:cat>
          <c:val>
            <c:numRef>
              <c:f>Sheet1!$B$2:$B$14</c:f>
              <c:numCache>
                <c:formatCode>_(* #,##0_);_(* \(#,##0\);_(* "-"??_);_(@_)</c:formatCode>
                <c:ptCount val="13"/>
                <c:pt idx="0">
                  <c:v>80000</c:v>
                </c:pt>
                <c:pt idx="1">
                  <c:v>65000</c:v>
                </c:pt>
                <c:pt idx="2">
                  <c:v>52000</c:v>
                </c:pt>
                <c:pt idx="3">
                  <c:v>45000</c:v>
                </c:pt>
                <c:pt idx="4">
                  <c:v>43000</c:v>
                </c:pt>
                <c:pt idx="5">
                  <c:v>41500</c:v>
                </c:pt>
                <c:pt idx="6">
                  <c:v>39500</c:v>
                </c:pt>
                <c:pt idx="7">
                  <c:v>37700</c:v>
                </c:pt>
                <c:pt idx="8">
                  <c:v>36800</c:v>
                </c:pt>
                <c:pt idx="9">
                  <c:v>35200</c:v>
                </c:pt>
                <c:pt idx="10">
                  <c:v>34400</c:v>
                </c:pt>
                <c:pt idx="11">
                  <c:v>33500</c:v>
                </c:pt>
                <c:pt idx="12">
                  <c:v>32900</c:v>
                </c:pt>
              </c:numCache>
            </c:numRef>
          </c:val>
          <c:extLst xmlns:c16r2="http://schemas.microsoft.com/office/drawing/2015/06/chart">
            <c:ext xmlns:c16="http://schemas.microsoft.com/office/drawing/2014/chart" uri="{C3380CC4-5D6E-409C-BE32-E72D297353CC}">
              <c16:uniqueId val="{00000000-115F-4247-A965-0388F44D0F02}"/>
            </c:ext>
          </c:extLst>
        </c:ser>
        <c:ser>
          <c:idx val="1"/>
          <c:order val="1"/>
          <c:tx>
            <c:strRef>
              <c:f>Sheet1!$C$1</c:f>
              <c:strCache>
                <c:ptCount val="1"/>
                <c:pt idx="0">
                  <c:v>Canada</c:v>
                </c:pt>
              </c:strCache>
            </c:strRef>
          </c:tx>
          <c:invertIfNegative val="0"/>
          <c:dLbls>
            <c:dLbl>
              <c:idx val="7"/>
              <c:layout>
                <c:manualLayout>
                  <c:x val="8.5470085470084698E-3"/>
                  <c:y val="-4.0161429974593984E-3"/>
                </c:manualLayout>
              </c:layout>
              <c:tx>
                <c:rich>
                  <a:bodyPr/>
                  <a:lstStyle/>
                  <a:p>
                    <a:r>
                      <a:rPr lang="en-US"/>
                      <a:t>10,000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15F-4247-A965-0388F44D0F02}"/>
                </c:ext>
                <c:ext xmlns:c15="http://schemas.microsoft.com/office/drawing/2012/chart" uri="{CE6537A1-D6FC-4f65-9D91-7224C49458BB}"/>
              </c:extLst>
            </c:dLbl>
            <c:dLbl>
              <c:idx val="10"/>
              <c:layout>
                <c:manualLayout>
                  <c:x val="8.5470085470085496E-3"/>
                  <c:y val="-4.0161429974593984E-3"/>
                </c:manualLayout>
              </c:layout>
              <c:tx>
                <c:rich>
                  <a:bodyPr/>
                  <a:lstStyle/>
                  <a:p>
                    <a:r>
                      <a:rPr lang="en-US"/>
                      <a:t>5,500</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15F-4247-A965-0388F44D0F02}"/>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900" b="1"/>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Sheet1!$A$2:$A$14</c:f>
              <c:numCache>
                <c:formatCode>General</c:formatCode>
                <c:ptCount val="13"/>
                <c:pt idx="0">
                  <c:v>1980</c:v>
                </c:pt>
                <c:pt idx="1">
                  <c:v>1990</c:v>
                </c:pt>
                <c:pt idx="2">
                  <c:v>1996</c:v>
                </c:pt>
                <c:pt idx="3">
                  <c:v>2006</c:v>
                </c:pt>
                <c:pt idx="4">
                  <c:v>2007</c:v>
                </c:pt>
                <c:pt idx="5">
                  <c:v>2008</c:v>
                </c:pt>
                <c:pt idx="6">
                  <c:v>2009</c:v>
                </c:pt>
                <c:pt idx="7">
                  <c:v>2010</c:v>
                </c:pt>
                <c:pt idx="8">
                  <c:v>2011</c:v>
                </c:pt>
                <c:pt idx="9">
                  <c:v>2012</c:v>
                </c:pt>
                <c:pt idx="10">
                  <c:v>2013</c:v>
                </c:pt>
                <c:pt idx="11">
                  <c:v>2014</c:v>
                </c:pt>
                <c:pt idx="12">
                  <c:v>2015</c:v>
                </c:pt>
              </c:numCache>
            </c:numRef>
          </c:cat>
          <c:val>
            <c:numRef>
              <c:f>Sheet1!$C$2:$C$14</c:f>
              <c:numCache>
                <c:formatCode>General</c:formatCode>
                <c:ptCount val="13"/>
                <c:pt idx="7" formatCode="#,##0">
                  <c:v>10000</c:v>
                </c:pt>
                <c:pt idx="10" formatCode="#,##0">
                  <c:v>5500</c:v>
                </c:pt>
                <c:pt idx="11" formatCode="#,##0">
                  <c:v>5100</c:v>
                </c:pt>
                <c:pt idx="12" formatCode="#,##0">
                  <c:v>4900</c:v>
                </c:pt>
              </c:numCache>
            </c:numRef>
          </c:val>
          <c:extLst xmlns:c16r2="http://schemas.microsoft.com/office/drawing/2015/06/chart">
            <c:ext xmlns:c16="http://schemas.microsoft.com/office/drawing/2014/chart" uri="{C3380CC4-5D6E-409C-BE32-E72D297353CC}">
              <c16:uniqueId val="{00000003-115F-4247-A965-0388F44D0F02}"/>
            </c:ext>
          </c:extLst>
        </c:ser>
        <c:dLbls>
          <c:showLegendKey val="0"/>
          <c:showVal val="1"/>
          <c:showCatName val="0"/>
          <c:showSerName val="0"/>
          <c:showPercent val="0"/>
          <c:showBubbleSize val="0"/>
        </c:dLbls>
        <c:gapWidth val="47"/>
        <c:overlap val="-25"/>
        <c:axId val="301047328"/>
        <c:axId val="301041448"/>
      </c:barChart>
      <c:catAx>
        <c:axId val="301047328"/>
        <c:scaling>
          <c:orientation val="minMax"/>
        </c:scaling>
        <c:delete val="0"/>
        <c:axPos val="b"/>
        <c:numFmt formatCode="General" sourceLinked="1"/>
        <c:majorTickMark val="none"/>
        <c:minorTickMark val="none"/>
        <c:tickLblPos val="nextTo"/>
        <c:txPr>
          <a:bodyPr/>
          <a:lstStyle/>
          <a:p>
            <a:pPr>
              <a:defRPr b="1"/>
            </a:pPr>
            <a:endParaRPr lang="en-US"/>
          </a:p>
        </c:txPr>
        <c:crossAx val="301041448"/>
        <c:crosses val="autoZero"/>
        <c:auto val="1"/>
        <c:lblAlgn val="ctr"/>
        <c:lblOffset val="100"/>
        <c:noMultiLvlLbl val="0"/>
      </c:catAx>
      <c:valAx>
        <c:axId val="301041448"/>
        <c:scaling>
          <c:orientation val="minMax"/>
        </c:scaling>
        <c:delete val="1"/>
        <c:axPos val="l"/>
        <c:numFmt formatCode="_(* #,##0_);_(* \(#,##0\);_(* &quot;-&quot;??_);_(@_)" sourceLinked="1"/>
        <c:majorTickMark val="out"/>
        <c:minorTickMark val="none"/>
        <c:tickLblPos val="none"/>
        <c:crossAx val="301047328"/>
        <c:crosses val="autoZero"/>
        <c:crossBetween val="between"/>
      </c:valAx>
      <c:spPr>
        <a:ln>
          <a:noFill/>
        </a:ln>
      </c:spPr>
    </c:plotArea>
    <c:legend>
      <c:legendPos val="t"/>
      <c:overlay val="0"/>
    </c:legend>
    <c:plotVisOnly val="1"/>
    <c:dispBlanksAs val="gap"/>
    <c:showDLblsOverMax val="0"/>
  </c:chart>
  <c:spPr>
    <a:noFill/>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0.54744</cdr:x>
      <cdr:y>0.17472</cdr:y>
    </cdr:from>
    <cdr:to>
      <cdr:x>0.97371</cdr:x>
      <cdr:y>0.57356</cdr:y>
    </cdr:to>
    <cdr:sp macro="" textlink="">
      <cdr:nvSpPr>
        <cdr:cNvPr id="2" name="Oval Callout 1"/>
        <cdr:cNvSpPr/>
      </cdr:nvSpPr>
      <cdr:spPr>
        <a:xfrm xmlns:a="http://schemas.openxmlformats.org/drawingml/2006/main">
          <a:off x="3232907" y="447676"/>
          <a:ext cx="2517337" cy="1021908"/>
        </a:xfrm>
        <a:prstGeom xmlns:a="http://schemas.openxmlformats.org/drawingml/2006/main" prst="wedgeEllipseCallout">
          <a:avLst>
            <a:gd name="adj1" fmla="val 38681"/>
            <a:gd name="adj2" fmla="val 71294"/>
          </a:avLst>
        </a:prstGeom>
        <a:noFill xmlns:a="http://schemas.openxmlformats.org/drawingml/2006/main"/>
        <a:ln xmlns:a="http://schemas.openxmlformats.org/drawingml/2006/main" w="12700">
          <a:prstDash val="sysDot"/>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lIns="0" tIns="0" rIns="0" bIns="0"/>
        <a:lstStyle xmlns:a="http://schemas.openxmlformats.org/drawingml/2006/main"/>
        <a:p xmlns:a="http://schemas.openxmlformats.org/drawingml/2006/main">
          <a:pPr algn="ctr"/>
          <a:r>
            <a:rPr lang="en-US" sz="1050" b="1">
              <a:solidFill>
                <a:sysClr val="windowText" lastClr="000000"/>
              </a:solidFill>
            </a:rPr>
            <a:t>Average Sales per Location </a:t>
          </a:r>
        </a:p>
        <a:p xmlns:a="http://schemas.openxmlformats.org/drawingml/2006/main">
          <a:pPr algn="ctr"/>
          <a:r>
            <a:rPr lang="en-US" sz="1050" b="1">
              <a:solidFill>
                <a:schemeClr val="accent1">
                  <a:lumMod val="75000"/>
                </a:schemeClr>
              </a:solidFill>
            </a:rPr>
            <a:t>USD </a:t>
          </a:r>
          <a:r>
            <a:rPr lang="en-US" sz="1050" b="1" baseline="0">
              <a:solidFill>
                <a:schemeClr val="accent1">
                  <a:lumMod val="75000"/>
                </a:schemeClr>
              </a:solidFill>
            </a:rPr>
            <a:t> </a:t>
          </a:r>
          <a:r>
            <a:rPr lang="en-US" sz="1050" b="1">
              <a:solidFill>
                <a:schemeClr val="accent1">
                  <a:lumMod val="75000"/>
                </a:schemeClr>
              </a:solidFill>
            </a:rPr>
            <a:t>$1,036,474</a:t>
          </a:r>
        </a:p>
        <a:p xmlns:a="http://schemas.openxmlformats.org/drawingml/2006/main">
          <a:pPr algn="ctr"/>
          <a:r>
            <a:rPr lang="en-US" sz="1050" b="1">
              <a:solidFill>
                <a:srgbClr val="C00000"/>
              </a:solidFill>
            </a:rPr>
            <a:t>Canada</a:t>
          </a:r>
          <a:r>
            <a:rPr lang="en-US" sz="1050" b="1" baseline="0">
              <a:solidFill>
                <a:srgbClr val="C00000"/>
              </a:solidFill>
            </a:rPr>
            <a:t> in</a:t>
          </a:r>
          <a:r>
            <a:rPr lang="en-US" sz="1050" b="1">
              <a:solidFill>
                <a:srgbClr val="C00000"/>
              </a:solidFill>
            </a:rPr>
            <a:t> USD $427,959</a:t>
          </a:r>
        </a:p>
        <a:p xmlns:a="http://schemas.openxmlformats.org/drawingml/2006/main">
          <a:pPr algn="ctr"/>
          <a:r>
            <a:rPr lang="en-US" sz="1050" b="1">
              <a:solidFill>
                <a:srgbClr val="C00000"/>
              </a:solidFill>
            </a:rPr>
            <a:t>Canada</a:t>
          </a:r>
          <a:r>
            <a:rPr lang="en-US" sz="1050" b="1" baseline="0">
              <a:solidFill>
                <a:srgbClr val="C00000"/>
              </a:solidFill>
            </a:rPr>
            <a:t> in </a:t>
          </a:r>
          <a:r>
            <a:rPr lang="en-US" sz="1050" b="1">
              <a:solidFill>
                <a:srgbClr val="C00000"/>
              </a:solidFill>
            </a:rPr>
            <a:t>CAD </a:t>
          </a:r>
          <a:r>
            <a:rPr lang="en-US" sz="1050" b="1" baseline="0">
              <a:solidFill>
                <a:srgbClr val="C00000"/>
              </a:solidFill>
            </a:rPr>
            <a:t> </a:t>
          </a:r>
          <a:r>
            <a:rPr lang="en-US" sz="1050" b="1">
              <a:solidFill>
                <a:srgbClr val="C00000"/>
              </a:solidFill>
            </a:rPr>
            <a:t>$591,837</a:t>
          </a:r>
        </a:p>
      </cdr:txBody>
    </cdr:sp>
  </cdr:relSizeAnchor>
  <cdr:relSizeAnchor xmlns:cdr="http://schemas.openxmlformats.org/drawingml/2006/chartDrawing">
    <cdr:from>
      <cdr:x>0.1371</cdr:x>
      <cdr:y>0.33054</cdr:y>
    </cdr:from>
    <cdr:to>
      <cdr:x>0.53193</cdr:x>
      <cdr:y>0.50198</cdr:y>
    </cdr:to>
    <cdr:sp macro="" textlink="">
      <cdr:nvSpPr>
        <cdr:cNvPr id="3" name="Oval Callout 2"/>
        <cdr:cNvSpPr/>
      </cdr:nvSpPr>
      <cdr:spPr>
        <a:xfrm xmlns:a="http://schemas.openxmlformats.org/drawingml/2006/main">
          <a:off x="809625" y="846929"/>
          <a:ext cx="2331663" cy="439268"/>
        </a:xfrm>
        <a:prstGeom xmlns:a="http://schemas.openxmlformats.org/drawingml/2006/main" prst="wedgeEllipseCallout">
          <a:avLst>
            <a:gd name="adj1" fmla="val -16213"/>
            <a:gd name="adj2" fmla="val 85276"/>
          </a:avLst>
        </a:prstGeom>
        <a:noFill xmlns:a="http://schemas.openxmlformats.org/drawingml/2006/main"/>
        <a:ln xmlns:a="http://schemas.openxmlformats.org/drawingml/2006/main" w="12700" cap="flat" cmpd="sng" algn="ctr">
          <a:solidFill>
            <a:srgbClr val="4F81BD">
              <a:shade val="50000"/>
            </a:srgbClr>
          </a:solidFill>
          <a:prstDash val="sysDot"/>
        </a:ln>
        <a:effectLst xmlns:a="http://schemas.openxmlformats.org/drawingml/2006/mai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lIns="0" rIns="0"/>
        <a:lstStyle xmlns:a="http://schemas.openxmlformats.org/drawingml/2006/main">
          <a:lvl1pPr marL="0" indent="0">
            <a:defRPr sz="1100">
              <a:solidFill>
                <a:sysClr val="window" lastClr="FFFFFF"/>
              </a:solidFill>
              <a:latin typeface="Calibri"/>
            </a:defRPr>
          </a:lvl1pPr>
          <a:lvl2pPr marL="457200" indent="0">
            <a:defRPr sz="1100">
              <a:solidFill>
                <a:sysClr val="window" lastClr="FFFFFF"/>
              </a:solidFill>
              <a:latin typeface="Calibri"/>
            </a:defRPr>
          </a:lvl2pPr>
          <a:lvl3pPr marL="914400" indent="0">
            <a:defRPr sz="1100">
              <a:solidFill>
                <a:sysClr val="window" lastClr="FFFFFF"/>
              </a:solidFill>
              <a:latin typeface="Calibri"/>
            </a:defRPr>
          </a:lvl3pPr>
          <a:lvl4pPr marL="1371600" indent="0">
            <a:defRPr sz="1100">
              <a:solidFill>
                <a:sysClr val="window" lastClr="FFFFFF"/>
              </a:solidFill>
              <a:latin typeface="Calibri"/>
            </a:defRPr>
          </a:lvl4pPr>
          <a:lvl5pPr marL="1828800" indent="0">
            <a:defRPr sz="1100">
              <a:solidFill>
                <a:sysClr val="window" lastClr="FFFFFF"/>
              </a:solidFill>
              <a:latin typeface="Calibri"/>
            </a:defRPr>
          </a:lvl5pPr>
          <a:lvl6pPr marL="2286000" indent="0">
            <a:defRPr sz="1100">
              <a:solidFill>
                <a:sysClr val="window" lastClr="FFFFFF"/>
              </a:solidFill>
              <a:latin typeface="Calibri"/>
            </a:defRPr>
          </a:lvl6pPr>
          <a:lvl7pPr marL="2743200" indent="0">
            <a:defRPr sz="1100">
              <a:solidFill>
                <a:sysClr val="window" lastClr="FFFFFF"/>
              </a:solidFill>
              <a:latin typeface="Calibri"/>
            </a:defRPr>
          </a:lvl7pPr>
          <a:lvl8pPr marL="3200400" indent="0">
            <a:defRPr sz="1100">
              <a:solidFill>
                <a:sysClr val="window" lastClr="FFFFFF"/>
              </a:solidFill>
              <a:latin typeface="Calibri"/>
            </a:defRPr>
          </a:lvl8pPr>
          <a:lvl9pPr marL="3657600" indent="0">
            <a:defRPr sz="1100">
              <a:solidFill>
                <a:sysClr val="window" lastClr="FFFFFF"/>
              </a:solidFill>
              <a:latin typeface="Calibri"/>
            </a:defRPr>
          </a:lvl9pPr>
        </a:lstStyle>
        <a:p xmlns:a="http://schemas.openxmlformats.org/drawingml/2006/main">
          <a:pPr algn="ctr"/>
          <a:r>
            <a:rPr lang="en-US" sz="1050" b="1">
              <a:solidFill>
                <a:sysClr val="windowText" lastClr="000000"/>
              </a:solidFill>
            </a:rPr>
            <a:t>Average Sales per Location </a:t>
          </a:r>
        </a:p>
        <a:p xmlns:a="http://schemas.openxmlformats.org/drawingml/2006/main">
          <a:pPr algn="ctr"/>
          <a:r>
            <a:rPr lang="en-US" sz="1050" b="1">
              <a:solidFill>
                <a:srgbClr val="4F81BD">
                  <a:lumMod val="75000"/>
                </a:srgbClr>
              </a:solidFill>
            </a:rPr>
            <a:t>USD $666,000</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dc:creator>
  <cp:keywords/>
  <dc:description/>
  <cp:lastModifiedBy>vincent romans</cp:lastModifiedBy>
  <cp:revision>2</cp:revision>
  <cp:lastPrinted>2016-10-22T13:13:00Z</cp:lastPrinted>
  <dcterms:created xsi:type="dcterms:W3CDTF">2016-11-24T22:34:00Z</dcterms:created>
  <dcterms:modified xsi:type="dcterms:W3CDTF">2016-11-24T22:34:00Z</dcterms:modified>
</cp:coreProperties>
</file>