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734CA" w14:textId="367AB9D4" w:rsidR="00160795" w:rsidRPr="00ED6F76" w:rsidRDefault="0092089B">
      <w:pPr>
        <w:rPr>
          <w:b/>
          <w:bCs/>
          <w:sz w:val="28"/>
          <w:szCs w:val="28"/>
        </w:rPr>
      </w:pPr>
      <w:r w:rsidRPr="00ED6F76">
        <w:rPr>
          <w:b/>
          <w:bCs/>
          <w:sz w:val="28"/>
          <w:szCs w:val="28"/>
        </w:rPr>
        <w:t>Collisio</w:t>
      </w:r>
      <w:r w:rsidR="00814EB3" w:rsidRPr="00ED6F76">
        <w:rPr>
          <w:b/>
          <w:bCs/>
          <w:sz w:val="28"/>
          <w:szCs w:val="28"/>
        </w:rPr>
        <w:t>n Buyers are More Plentiful and Active than Ever</w:t>
      </w:r>
      <w:r w:rsidR="00D254EB" w:rsidRPr="00ED6F76">
        <w:rPr>
          <w:b/>
          <w:bCs/>
          <w:sz w:val="28"/>
          <w:szCs w:val="28"/>
        </w:rPr>
        <w:t>.</w:t>
      </w:r>
      <w:r w:rsidR="00814EB3" w:rsidRPr="00ED6F76">
        <w:rPr>
          <w:b/>
          <w:bCs/>
          <w:sz w:val="28"/>
          <w:szCs w:val="28"/>
        </w:rPr>
        <w:t xml:space="preserve"> Why Now?</w:t>
      </w:r>
    </w:p>
    <w:p w14:paraId="1ACBACBC" w14:textId="7CD55B61" w:rsidR="00ED6F76" w:rsidRPr="00687658" w:rsidRDefault="00CF77EB">
      <w:pPr>
        <w:rPr>
          <w:b/>
          <w:bCs/>
          <w:i/>
          <w:iCs/>
        </w:rPr>
      </w:pPr>
      <w:r w:rsidRPr="00687658">
        <w:rPr>
          <w:i/>
          <w:iCs/>
        </w:rPr>
        <w:t>By David Roberts</w:t>
      </w:r>
      <w:r w:rsidR="00ED6F76" w:rsidRPr="00687658">
        <w:rPr>
          <w:i/>
          <w:iCs/>
        </w:rPr>
        <w:t xml:space="preserve"> and Chris Lane</w:t>
      </w:r>
      <w:r w:rsidR="00ED6F76" w:rsidRPr="00687658">
        <w:rPr>
          <w:i/>
          <w:iCs/>
        </w:rPr>
        <w:br/>
        <w:t>Focus Advisors Automotive</w:t>
      </w:r>
      <w:r w:rsidR="00ED6F76" w:rsidRPr="00687658">
        <w:rPr>
          <w:i/>
          <w:iCs/>
        </w:rPr>
        <w:br/>
      </w:r>
      <w:r w:rsidR="006D420A" w:rsidRPr="00687658">
        <w:rPr>
          <w:i/>
          <w:iCs/>
        </w:rPr>
        <w:t>July 27, 2020</w:t>
      </w:r>
    </w:p>
    <w:p w14:paraId="7647AD94" w14:textId="621112F2" w:rsidR="002641D2" w:rsidRDefault="002641D2">
      <w:r>
        <w:t>Three months ago, both industry revenues and M&amp;A interest were severely depressed. Operators were pausing, not knowing how far down revenues might go and how long they would stay depressed.  Sellers were wondering the same things.  Buyers were pausing as the tumult caused by the COVID19 virus was creating enormous uncertainty.</w:t>
      </w:r>
    </w:p>
    <w:p w14:paraId="2F716439" w14:textId="60D991B2" w:rsidR="002641D2" w:rsidRDefault="002641D2">
      <w:r>
        <w:t xml:space="preserve">Then the granting of PPP loans, additional capital obtained by the leading consolidators, interest from value-oriented private equity firms and glimmers of hope as assignments began to impact operators and acquirers alike.  </w:t>
      </w:r>
    </w:p>
    <w:p w14:paraId="04F8A846" w14:textId="77777777" w:rsidR="00685954" w:rsidRDefault="002641D2">
      <w:r>
        <w:t>At the beginning of the third quarter of th</w:t>
      </w:r>
      <w:r w:rsidR="00262F8B">
        <w:t>is</w:t>
      </w:r>
      <w:r>
        <w:t xml:space="preserve"> most extraordinary year, we are seeing a few deals being announced.  At the same time, we are seeing considerably more interest in finding and engaging with new prospective sellers.  </w:t>
      </w:r>
      <w:r w:rsidR="00D06ED1">
        <w:t>Today we are seeing m</w:t>
      </w:r>
      <w:r w:rsidR="18C9A888">
        <w:t>ultiple bidders and attractive LOIs</w:t>
      </w:r>
      <w:r w:rsidR="00685954">
        <w:t xml:space="preserve">, a big change from </w:t>
      </w:r>
      <w:r w:rsidR="18C9A888">
        <w:t>just a few months ago.  From our clients and from our discussions with other operators of all sizes around the US,</w:t>
      </w:r>
      <w:r w:rsidR="00685954">
        <w:t xml:space="preserve"> the pause in acquisitions seems to be over.</w:t>
      </w:r>
    </w:p>
    <w:p w14:paraId="3BA04163" w14:textId="20C58AA2" w:rsidR="00685954" w:rsidRDefault="001A3708">
      <w:r>
        <w:t>For p</w:t>
      </w:r>
      <w:r w:rsidR="00685954">
        <w:t>latform targets, above $25 million in revenues, new private equity bidders are competing with the established national and regional players.</w:t>
      </w:r>
    </w:p>
    <w:p w14:paraId="67FA3284" w14:textId="311B1FF7" w:rsidR="00632543" w:rsidRDefault="18C9A888">
      <w:r>
        <w:t>We believe there are many reasons why this is the case, and why now.  It’s too early to tell what a post pandemic world will look like, but for collision and the automotive aftermarket there are a number of observations and recent trends that seem to be amplifying the attractiveness and value of these businesses.</w:t>
      </w:r>
    </w:p>
    <w:p w14:paraId="01955291" w14:textId="7FD57A08" w:rsidR="00735073" w:rsidRPr="00BF10B2" w:rsidRDefault="00E91144" w:rsidP="00BF10B2">
      <w:pPr>
        <w:rPr>
          <w:b/>
          <w:bCs/>
        </w:rPr>
      </w:pPr>
      <w:r w:rsidRPr="00BF10B2">
        <w:rPr>
          <w:b/>
          <w:bCs/>
        </w:rPr>
        <w:t>The Outlook for Collision is Bright</w:t>
      </w:r>
      <w:r w:rsidR="008E437F" w:rsidRPr="00BF10B2">
        <w:rPr>
          <w:b/>
          <w:bCs/>
        </w:rPr>
        <w:t xml:space="preserve"> (for some)</w:t>
      </w:r>
    </w:p>
    <w:p w14:paraId="455472A3" w14:textId="393DFFD1" w:rsidR="00FE13D1" w:rsidRDefault="004A20D6" w:rsidP="006E4B2A">
      <w:r>
        <w:t>Miles driven continues to increase</w:t>
      </w:r>
      <w:r w:rsidR="003A7F43">
        <w:t xml:space="preserve">.  </w:t>
      </w:r>
      <w:r w:rsidR="00EE3EBB">
        <w:t xml:space="preserve">Some </w:t>
      </w:r>
      <w:r w:rsidR="004A2FD8">
        <w:t xml:space="preserve">forecast miles driven to increase </w:t>
      </w:r>
      <w:r w:rsidR="00260B43">
        <w:t xml:space="preserve">even </w:t>
      </w:r>
      <w:r w:rsidR="004A2FD8">
        <w:t>more rapidly</w:t>
      </w:r>
      <w:r w:rsidR="003A7F43">
        <w:t xml:space="preserve"> </w:t>
      </w:r>
      <w:r w:rsidR="004A2FD8">
        <w:t xml:space="preserve">as </w:t>
      </w:r>
      <w:r w:rsidR="006608FE">
        <w:t xml:space="preserve">people </w:t>
      </w:r>
      <w:r w:rsidR="00046773">
        <w:t xml:space="preserve">avoid </w:t>
      </w:r>
      <w:r w:rsidR="00D07326">
        <w:t>co</w:t>
      </w:r>
      <w:r w:rsidR="00994A58">
        <w:t xml:space="preserve">mmunity travel, </w:t>
      </w:r>
      <w:r w:rsidR="006608FE">
        <w:t>driv</w:t>
      </w:r>
      <w:r w:rsidR="00994A58">
        <w:t>ing</w:t>
      </w:r>
      <w:r w:rsidR="006608FE">
        <w:t xml:space="preserve"> instead of fly</w:t>
      </w:r>
      <w:r w:rsidR="00994A58">
        <w:t>ing</w:t>
      </w:r>
      <w:r w:rsidR="00175110">
        <w:t xml:space="preserve"> or commuting via</w:t>
      </w:r>
      <w:r w:rsidR="00FE13D1">
        <w:t xml:space="preserve"> public transit</w:t>
      </w:r>
      <w:r w:rsidR="00994A58">
        <w:t>.</w:t>
      </w:r>
      <w:r w:rsidR="006E4B2A">
        <w:t xml:space="preserve">  </w:t>
      </w:r>
      <w:r w:rsidR="005D13A9">
        <w:t>As of this writing miles driven in the US was down just 3% from Feb levels</w:t>
      </w:r>
      <w:r w:rsidR="006074DB">
        <w:t xml:space="preserve">.  </w:t>
      </w:r>
      <w:r w:rsidR="00131BC3">
        <w:t>T</w:t>
      </w:r>
      <w:r w:rsidR="00131BC3">
        <w:t>he vacation rental market is returning</w:t>
      </w:r>
      <w:r w:rsidR="00131BC3">
        <w:t xml:space="preserve"> and m</w:t>
      </w:r>
      <w:r w:rsidR="009308F2">
        <w:t>ost forecast auto travel</w:t>
      </w:r>
      <w:r w:rsidR="007E152C">
        <w:t xml:space="preserve"> </w:t>
      </w:r>
      <w:r w:rsidR="0018642F">
        <w:t>to be</w:t>
      </w:r>
      <w:r w:rsidR="007E152C">
        <w:t xml:space="preserve"> the predominant </w:t>
      </w:r>
      <w:r w:rsidR="00182FAC">
        <w:t>way to get</w:t>
      </w:r>
      <w:r w:rsidR="0018642F">
        <w:t xml:space="preserve"> there</w:t>
      </w:r>
      <w:r w:rsidR="00131BC3">
        <w:t>.</w:t>
      </w:r>
    </w:p>
    <w:p w14:paraId="070C2033" w14:textId="76EBCAD0" w:rsidR="004B58E7" w:rsidRDefault="00BC429C" w:rsidP="00536838">
      <w:r>
        <w:t xml:space="preserve">The recently released </w:t>
      </w:r>
      <w:r w:rsidR="00F6642C">
        <w:t>ACA/</w:t>
      </w:r>
      <w:r w:rsidR="004D7B97">
        <w:t xml:space="preserve">AASA </w:t>
      </w:r>
      <w:r w:rsidR="00421997">
        <w:t xml:space="preserve">Auto Aftermarket sales </w:t>
      </w:r>
      <w:r w:rsidR="00AB1344">
        <w:t>forecast projects an</w:t>
      </w:r>
      <w:r w:rsidR="00421997">
        <w:t xml:space="preserve"> increase</w:t>
      </w:r>
      <w:r w:rsidR="00AB1344">
        <w:t xml:space="preserve"> of </w:t>
      </w:r>
      <w:r w:rsidR="00206D82">
        <w:t xml:space="preserve">nearly </w:t>
      </w:r>
      <w:r w:rsidR="006F5623">
        <w:t>12</w:t>
      </w:r>
      <w:r w:rsidR="00194585">
        <w:t xml:space="preserve">% </w:t>
      </w:r>
      <w:r w:rsidR="00206D82">
        <w:t>from this year to next</w:t>
      </w:r>
      <w:r w:rsidR="00421997">
        <w:t>, and 2% from 2019</w:t>
      </w:r>
      <w:r w:rsidR="000D625B">
        <w:t xml:space="preserve">.  If </w:t>
      </w:r>
      <w:r w:rsidR="00F07D59">
        <w:t xml:space="preserve">the research for </w:t>
      </w:r>
      <w:r w:rsidR="000D625B">
        <w:t xml:space="preserve">that report was compiled in </w:t>
      </w:r>
      <w:r w:rsidR="00F07D59">
        <w:t>March or April</w:t>
      </w:r>
      <w:r w:rsidR="000D625B">
        <w:t xml:space="preserve"> of this year it could</w:t>
      </w:r>
      <w:r w:rsidR="006B10B6">
        <w:t xml:space="preserve"> be conservative</w:t>
      </w:r>
      <w:r w:rsidR="00685954">
        <w:t>.</w:t>
      </w:r>
    </w:p>
    <w:p w14:paraId="3FCDD2E6" w14:textId="03B92AB7" w:rsidR="00563811" w:rsidRDefault="00162269" w:rsidP="00563811">
      <w:r>
        <w:t>Although</w:t>
      </w:r>
      <w:r w:rsidR="00A75EF2">
        <w:t xml:space="preserve"> most</w:t>
      </w:r>
      <w:r>
        <w:t xml:space="preserve"> collision operators </w:t>
      </w:r>
      <w:r w:rsidR="00A75EF2">
        <w:t xml:space="preserve">don’t expect to see a return to full 2019 levels until next year, we believe </w:t>
      </w:r>
      <w:r w:rsidR="00BB0DF7">
        <w:t xml:space="preserve">the ones that successfully weather the pandemic downturn will </w:t>
      </w:r>
      <w:r w:rsidR="00C3146C">
        <w:t xml:space="preserve">see a market share increase </w:t>
      </w:r>
      <w:r w:rsidR="00685954">
        <w:t>as their competitors fail</w:t>
      </w:r>
      <w:r w:rsidR="00C3146C">
        <w:t>.</w:t>
      </w:r>
    </w:p>
    <w:p w14:paraId="4A3FBA56" w14:textId="77777777" w:rsidR="00175F75" w:rsidRDefault="00175F75">
      <w:pPr>
        <w:rPr>
          <w:b/>
          <w:bCs/>
        </w:rPr>
      </w:pPr>
      <w:r>
        <w:rPr>
          <w:b/>
          <w:bCs/>
        </w:rPr>
        <w:br w:type="page"/>
      </w:r>
    </w:p>
    <w:p w14:paraId="103EA69D" w14:textId="2D0F97CF" w:rsidR="00CB3FF6" w:rsidRPr="005D5F67" w:rsidRDefault="00FF3389" w:rsidP="005D5F67">
      <w:pPr>
        <w:rPr>
          <w:b/>
          <w:bCs/>
        </w:rPr>
      </w:pPr>
      <w:r w:rsidRPr="00BF10B2">
        <w:rPr>
          <w:b/>
          <w:bCs/>
        </w:rPr>
        <w:lastRenderedPageBreak/>
        <w:t>More</w:t>
      </w:r>
      <w:r w:rsidR="00780CF1" w:rsidRPr="00BF10B2">
        <w:rPr>
          <w:b/>
          <w:bCs/>
        </w:rPr>
        <w:t xml:space="preserve"> Qualified </w:t>
      </w:r>
      <w:r w:rsidR="00174069" w:rsidRPr="00BF10B2">
        <w:rPr>
          <w:b/>
          <w:bCs/>
        </w:rPr>
        <w:t>Buyers, Inside and Outside the Industry</w:t>
      </w:r>
    </w:p>
    <w:p w14:paraId="21FFFFAC" w14:textId="5ADA24DE" w:rsidR="00310C32" w:rsidRDefault="00CB32E9" w:rsidP="00563811">
      <w:r>
        <w:t xml:space="preserve">The </w:t>
      </w:r>
      <w:r w:rsidR="001B6DE1">
        <w:t>4</w:t>
      </w:r>
      <w:r>
        <w:t xml:space="preserve"> big regionals have solid PE backing with a mandate to grow </w:t>
      </w:r>
      <w:r w:rsidR="000F4865">
        <w:t>through acquisition: Classic</w:t>
      </w:r>
      <w:r w:rsidR="00563811">
        <w:t xml:space="preserve"> </w:t>
      </w:r>
      <w:r w:rsidR="00FF1A9A">
        <w:t>C</w:t>
      </w:r>
      <w:r w:rsidR="00563811">
        <w:t>ollision</w:t>
      </w:r>
      <w:r w:rsidR="000F4865">
        <w:t>, Crash</w:t>
      </w:r>
      <w:r w:rsidR="00685954">
        <w:t xml:space="preserve"> Champions</w:t>
      </w:r>
      <w:r w:rsidR="00FF1A9A">
        <w:t xml:space="preserve"> (with </w:t>
      </w:r>
      <w:r w:rsidR="00944824">
        <w:t>Pacific Elite)</w:t>
      </w:r>
      <w:r w:rsidR="000F4865">
        <w:t xml:space="preserve">, </w:t>
      </w:r>
      <w:r w:rsidR="00685954">
        <w:t xml:space="preserve">Joe </w:t>
      </w:r>
      <w:r w:rsidR="000F4865">
        <w:t>Hudson</w:t>
      </w:r>
      <w:r w:rsidR="00944824">
        <w:t>s</w:t>
      </w:r>
      <w:r w:rsidR="001B6DE1">
        <w:t>, ProCare</w:t>
      </w:r>
      <w:r w:rsidR="00944824">
        <w:t xml:space="preserve">.  </w:t>
      </w:r>
      <w:r w:rsidR="00310C32">
        <w:t xml:space="preserve">Meanwhile </w:t>
      </w:r>
      <w:r w:rsidR="00685954">
        <w:t xml:space="preserve">both </w:t>
      </w:r>
      <w:r w:rsidR="00310C32">
        <w:t xml:space="preserve">Gerber and Caliber </w:t>
      </w:r>
      <w:r w:rsidR="00685954">
        <w:t xml:space="preserve">have refilled their coffers with some additional debt and </w:t>
      </w:r>
      <w:r w:rsidR="00310C32">
        <w:t xml:space="preserve">are </w:t>
      </w:r>
      <w:r w:rsidR="00685954">
        <w:t>continuing to acquire</w:t>
      </w:r>
      <w:r w:rsidR="00A84B48">
        <w:t xml:space="preserve"> both </w:t>
      </w:r>
      <w:r w:rsidR="0095777C">
        <w:t>market significant MSOs and fill ins.</w:t>
      </w:r>
    </w:p>
    <w:p w14:paraId="4C373A0C" w14:textId="02967DB7" w:rsidR="00827D32" w:rsidRPr="00D12433" w:rsidRDefault="00685954" w:rsidP="00563811">
      <w:r>
        <w:t xml:space="preserve">In addition to these name brand operators </w:t>
      </w:r>
      <w:r w:rsidR="008F48A7">
        <w:t xml:space="preserve">there are now </w:t>
      </w:r>
      <w:r w:rsidR="001B58F4">
        <w:t xml:space="preserve">7 </w:t>
      </w:r>
      <w:r>
        <w:t>private equity</w:t>
      </w:r>
      <w:r w:rsidR="001B58F4">
        <w:t xml:space="preserve"> firms eager to enter the collision </w:t>
      </w:r>
      <w:r w:rsidR="0081123A">
        <w:t xml:space="preserve">market, most with experienced former operators at the </w:t>
      </w:r>
      <w:r w:rsidR="005C7267">
        <w:t xml:space="preserve">acquisition helm, </w:t>
      </w:r>
      <w:r w:rsidR="0081123A">
        <w:t>some</w:t>
      </w:r>
      <w:r w:rsidR="007D7A1E">
        <w:t xml:space="preserve"> which</w:t>
      </w:r>
      <w:r w:rsidR="0081123A">
        <w:t xml:space="preserve"> </w:t>
      </w:r>
      <w:r>
        <w:t xml:space="preserve">have </w:t>
      </w:r>
      <w:r w:rsidR="0081123A">
        <w:t xml:space="preserve">already </w:t>
      </w:r>
      <w:r>
        <w:t xml:space="preserve">issued Letters of Intent and are </w:t>
      </w:r>
      <w:r w:rsidR="00CA3E69">
        <w:t>in Due Diligence.</w:t>
      </w:r>
    </w:p>
    <w:p w14:paraId="37D57405" w14:textId="24FCFF43" w:rsidR="00685954" w:rsidRDefault="00685954" w:rsidP="007D7A1E">
      <w:r>
        <w:t>Several of t</w:t>
      </w:r>
      <w:r w:rsidR="005263BA">
        <w:t xml:space="preserve">hese </w:t>
      </w:r>
      <w:r>
        <w:t xml:space="preserve">PE </w:t>
      </w:r>
      <w:r w:rsidR="005263BA">
        <w:t xml:space="preserve">firms </w:t>
      </w:r>
      <w:r>
        <w:t xml:space="preserve">were in the hunt for </w:t>
      </w:r>
      <w:r w:rsidR="00E13697">
        <w:t>platforms deal</w:t>
      </w:r>
      <w:r w:rsidR="007D7A1E">
        <w:t>s</w:t>
      </w:r>
      <w:r w:rsidR="00E13697">
        <w:t xml:space="preserve"> including </w:t>
      </w:r>
      <w:r>
        <w:t xml:space="preserve">Joe Hudson and Crash Champions where </w:t>
      </w:r>
      <w:r w:rsidR="00E13697">
        <w:t>premium valuations were expected.  They</w:t>
      </w:r>
      <w:r>
        <w:t xml:space="preserve"> issued LOIs, did their due diligence and have a much deeper understanding of the business than some of the newer PE entrants.</w:t>
      </w:r>
    </w:p>
    <w:p w14:paraId="6BBE87CF" w14:textId="7D2F61B0" w:rsidR="003155A0" w:rsidRDefault="009A46BD" w:rsidP="00B41B1F">
      <w:r>
        <w:t>With a</w:t>
      </w:r>
      <w:r w:rsidR="003155A0">
        <w:t xml:space="preserve"> larger pool of buyers</w:t>
      </w:r>
      <w:r w:rsidR="002F1C2A">
        <w:t>,</w:t>
      </w:r>
      <w:r w:rsidR="003155A0">
        <w:t xml:space="preserve"> </w:t>
      </w:r>
      <w:r>
        <w:t xml:space="preserve">sellers </w:t>
      </w:r>
      <w:r w:rsidR="00E13697">
        <w:t>are finding</w:t>
      </w:r>
      <w:r w:rsidR="008953E9">
        <w:t xml:space="preserve"> interest from multiple parties</w:t>
      </w:r>
      <w:r w:rsidR="00345815">
        <w:t xml:space="preserve">, which </w:t>
      </w:r>
      <w:r w:rsidR="00D93C89">
        <w:t xml:space="preserve">drives </w:t>
      </w:r>
      <w:r w:rsidR="00E13697">
        <w:t>valuations and</w:t>
      </w:r>
      <w:r w:rsidR="00D93C89">
        <w:t xml:space="preserve"> increases </w:t>
      </w:r>
      <w:r w:rsidR="0076426C">
        <w:t>the chance</w:t>
      </w:r>
      <w:r w:rsidR="00E13697">
        <w:t>s that a</w:t>
      </w:r>
      <w:r w:rsidR="0076426C">
        <w:t xml:space="preserve"> sale gets completed</w:t>
      </w:r>
      <w:r w:rsidR="00E13697">
        <w:t>.  It also l</w:t>
      </w:r>
      <w:r w:rsidR="00563507">
        <w:t>eav</w:t>
      </w:r>
      <w:r w:rsidR="00E13697">
        <w:t>es s</w:t>
      </w:r>
      <w:r w:rsidR="0076426C">
        <w:t xml:space="preserve">ome bidders on the losing end of </w:t>
      </w:r>
      <w:r w:rsidR="00006783">
        <w:t>a good</w:t>
      </w:r>
      <w:r w:rsidR="00355DBA">
        <w:t xml:space="preserve"> offer</w:t>
      </w:r>
      <w:r w:rsidR="00B41B1F">
        <w:t>, which</w:t>
      </w:r>
      <w:r w:rsidR="00E13697">
        <w:t xml:space="preserve"> tends to raise their desire to not lose the next deal</w:t>
      </w:r>
      <w:r w:rsidR="002C07B5">
        <w:t>.</w:t>
      </w:r>
    </w:p>
    <w:p w14:paraId="533B28E1" w14:textId="645FE8AE" w:rsidR="00BD2EDB" w:rsidRPr="00BF10B2" w:rsidRDefault="00E930CF">
      <w:pPr>
        <w:rPr>
          <w:b/>
          <w:bCs/>
        </w:rPr>
      </w:pPr>
      <w:r w:rsidRPr="00BF10B2">
        <w:rPr>
          <w:b/>
          <w:bCs/>
        </w:rPr>
        <w:t xml:space="preserve">Market Impactful </w:t>
      </w:r>
      <w:r w:rsidR="00386607" w:rsidRPr="00BF10B2">
        <w:rPr>
          <w:b/>
          <w:bCs/>
        </w:rPr>
        <w:t>Platforms are Few, Bolt</w:t>
      </w:r>
      <w:r w:rsidR="00E67CFE" w:rsidRPr="00BF10B2">
        <w:rPr>
          <w:b/>
          <w:bCs/>
        </w:rPr>
        <w:t xml:space="preserve">-ons </w:t>
      </w:r>
      <w:r w:rsidR="004F5D31" w:rsidRPr="00BF10B2">
        <w:rPr>
          <w:b/>
          <w:bCs/>
        </w:rPr>
        <w:t>C</w:t>
      </w:r>
      <w:r w:rsidR="00E67CFE" w:rsidRPr="00BF10B2">
        <w:rPr>
          <w:b/>
          <w:bCs/>
        </w:rPr>
        <w:t>heaper</w:t>
      </w:r>
    </w:p>
    <w:p w14:paraId="38AC0D4E" w14:textId="3AB3F0B8" w:rsidR="00196AB2" w:rsidRDefault="00EA2106" w:rsidP="00B41B1F">
      <w:r>
        <w:t xml:space="preserve">Although there are 32,000 body shops in the US, there are </w:t>
      </w:r>
      <w:r w:rsidR="00FA679C">
        <w:t xml:space="preserve">by our count </w:t>
      </w:r>
      <w:r w:rsidR="00F21711">
        <w:t xml:space="preserve">fewer than 9,000 shops that </w:t>
      </w:r>
      <w:r w:rsidR="00590AAC">
        <w:t>are considered impactful enough to buy</w:t>
      </w:r>
      <w:r w:rsidR="0038075C">
        <w:t xml:space="preserve">.  </w:t>
      </w:r>
      <w:r w:rsidR="009D465F">
        <w:t>Even more scarce are large, quality MSOs</w:t>
      </w:r>
      <w:r w:rsidR="00001D49">
        <w:t xml:space="preserve">.  </w:t>
      </w:r>
      <w:r w:rsidR="00E13697">
        <w:t>In our proprietary database t</w:t>
      </w:r>
      <w:r w:rsidR="00001D49">
        <w:t xml:space="preserve">here are only </w:t>
      </w:r>
      <w:r w:rsidR="009F75B7">
        <w:t xml:space="preserve">about </w:t>
      </w:r>
      <w:r w:rsidR="00877DA0">
        <w:t>125 MSOs with 4 or more locations</w:t>
      </w:r>
      <w:r w:rsidR="00001D49">
        <w:t xml:space="preserve"> </w:t>
      </w:r>
      <w:r w:rsidR="00E13697">
        <w:t>in the US. Perhaps only one third of</w:t>
      </w:r>
      <w:r w:rsidR="005A6AF3">
        <w:t xml:space="preserve"> those are </w:t>
      </w:r>
      <w:r w:rsidR="00E13697">
        <w:t xml:space="preserve">important enough in their </w:t>
      </w:r>
      <w:r w:rsidR="005A6AF3">
        <w:t>market</w:t>
      </w:r>
      <w:r w:rsidR="00E13697">
        <w:t>s to allow an acquirer new to the market to</w:t>
      </w:r>
      <w:r w:rsidR="006526A6">
        <w:t xml:space="preserve"> begin developing a </w:t>
      </w:r>
      <w:r w:rsidR="00856EA3">
        <w:t>regional presence.</w:t>
      </w:r>
    </w:p>
    <w:p w14:paraId="31E55E0A" w14:textId="7B2F6174" w:rsidR="00F71595" w:rsidRDefault="00ED3438" w:rsidP="00B41B1F">
      <w:r>
        <w:t>In many cases th</w:t>
      </w:r>
      <w:r w:rsidR="00E13697">
        <w:t>e</w:t>
      </w:r>
      <w:r>
        <w:t xml:space="preserve">se market dominant operators </w:t>
      </w:r>
      <w:r w:rsidR="00914E07">
        <w:t>already have the capital and energy to grow</w:t>
      </w:r>
      <w:r w:rsidR="00A42304">
        <w:t>,</w:t>
      </w:r>
      <w:r w:rsidR="00CF017D">
        <w:t xml:space="preserve"> with little incen</w:t>
      </w:r>
      <w:r w:rsidR="00EC4D9B">
        <w:t>tive to give up equity or control</w:t>
      </w:r>
      <w:r w:rsidR="00A42304">
        <w:t>.</w:t>
      </w:r>
      <w:r w:rsidR="009D3AB0">
        <w:t xml:space="preserve">  </w:t>
      </w:r>
      <w:r w:rsidR="00C660F8">
        <w:t xml:space="preserve">The remaining platforms are </w:t>
      </w:r>
      <w:r w:rsidR="00114BA6">
        <w:t xml:space="preserve">a precious few, and </w:t>
      </w:r>
      <w:r w:rsidR="00D83128">
        <w:t>buyers recognize that.</w:t>
      </w:r>
    </w:p>
    <w:p w14:paraId="2DEF2AB6" w14:textId="5674997C" w:rsidR="00302CA2" w:rsidRDefault="00F71595" w:rsidP="00B41B1F">
      <w:r>
        <w:t xml:space="preserve">Despite </w:t>
      </w:r>
      <w:r w:rsidR="00E13697">
        <w:t>making initial investments at</w:t>
      </w:r>
      <w:r>
        <w:t xml:space="preserve"> a premium, </w:t>
      </w:r>
      <w:r w:rsidR="009D3AB0">
        <w:t xml:space="preserve">investors see an opportunity for </w:t>
      </w:r>
      <w:r w:rsidR="00E6030B">
        <w:t xml:space="preserve">excellent returns by growing </w:t>
      </w:r>
      <w:r w:rsidR="00FC7AF4">
        <w:t>a</w:t>
      </w:r>
      <w:r w:rsidR="00E6030B">
        <w:t xml:space="preserve"> platform through less expensive </w:t>
      </w:r>
      <w:r w:rsidR="001D5ACA">
        <w:t xml:space="preserve">single shop and small MSO add-ons.  </w:t>
      </w:r>
      <w:r w:rsidR="001A2DBF">
        <w:t xml:space="preserve">It’s likely (and unfortunate) that the pandemic will accelerate the </w:t>
      </w:r>
      <w:r w:rsidR="00433D3B">
        <w:t>need for smaller operators to exit quickly</w:t>
      </w:r>
      <w:r w:rsidR="00F73CB1">
        <w:t xml:space="preserve"> and with less value</w:t>
      </w:r>
      <w:r w:rsidR="0029554E">
        <w:t>.</w:t>
      </w:r>
    </w:p>
    <w:p w14:paraId="5983385D" w14:textId="7C350D1B" w:rsidR="00967FD7" w:rsidRDefault="0029554E" w:rsidP="00B41B1F">
      <w:r>
        <w:t xml:space="preserve">It’s also possible that </w:t>
      </w:r>
      <w:r w:rsidR="0034756F">
        <w:t xml:space="preserve">the pandemic </w:t>
      </w:r>
      <w:r w:rsidR="004C31CF">
        <w:t xml:space="preserve">opens up more brownfield opportunities as </w:t>
      </w:r>
      <w:r w:rsidR="00E13697">
        <w:t>real estate investors look for more industrial assets, shifting away from retail</w:t>
      </w:r>
      <w:r w:rsidR="00762682">
        <w:t>.</w:t>
      </w:r>
    </w:p>
    <w:p w14:paraId="5C58C048" w14:textId="1ADDDC7C" w:rsidR="00E67CFE" w:rsidRPr="00BF10B2" w:rsidRDefault="0046149C">
      <w:pPr>
        <w:rPr>
          <w:b/>
          <w:bCs/>
        </w:rPr>
      </w:pPr>
      <w:r w:rsidRPr="00BF10B2">
        <w:rPr>
          <w:b/>
          <w:bCs/>
        </w:rPr>
        <w:t>Techs and Experience</w:t>
      </w:r>
      <w:r w:rsidR="00894525" w:rsidRPr="00BF10B2">
        <w:rPr>
          <w:b/>
          <w:bCs/>
        </w:rPr>
        <w:t>d</w:t>
      </w:r>
      <w:r w:rsidRPr="00BF10B2">
        <w:rPr>
          <w:b/>
          <w:bCs/>
        </w:rPr>
        <w:t xml:space="preserve"> Operators Available from Distressed Businesses</w:t>
      </w:r>
    </w:p>
    <w:p w14:paraId="4C604C93" w14:textId="55CD93AD" w:rsidR="00A250E5" w:rsidRDefault="006972BD" w:rsidP="008078CC">
      <w:r>
        <w:t>A significant factor that inhibited growth last year was a scarcity of technicians and experienced operators.</w:t>
      </w:r>
      <w:r w:rsidR="00336332">
        <w:t xml:space="preserve">  The pandemic has </w:t>
      </w:r>
      <w:r w:rsidR="00A70EF7">
        <w:t>eased th</w:t>
      </w:r>
      <w:r w:rsidR="008E7C7F">
        <w:t>at constraint.</w:t>
      </w:r>
    </w:p>
    <w:p w14:paraId="05D90654" w14:textId="6162A269" w:rsidR="00457C6A" w:rsidRDefault="00E13697" w:rsidP="008078CC">
      <w:r>
        <w:t xml:space="preserve">The demise of </w:t>
      </w:r>
      <w:r w:rsidR="008E7C7F">
        <w:t xml:space="preserve">Service King, </w:t>
      </w:r>
      <w:r>
        <w:t xml:space="preserve">distress among </w:t>
      </w:r>
      <w:r w:rsidR="00F05A35">
        <w:t>local</w:t>
      </w:r>
      <w:r w:rsidR="008E7C7F">
        <w:t xml:space="preserve"> operators and </w:t>
      </w:r>
      <w:r>
        <w:t xml:space="preserve">less competition from </w:t>
      </w:r>
      <w:r w:rsidR="008E7C7F">
        <w:t>Caliber,</w:t>
      </w:r>
      <w:r w:rsidR="007B2DBA">
        <w:t xml:space="preserve"> are </w:t>
      </w:r>
      <w:r w:rsidR="00FC183C">
        <w:t xml:space="preserve">now easing the competition </w:t>
      </w:r>
      <w:r w:rsidR="007B2DBA">
        <w:t>for technicians</w:t>
      </w:r>
      <w:r w:rsidR="00A92B21">
        <w:t xml:space="preserve"> and operators who have experience with growth and scale.</w:t>
      </w:r>
      <w:r w:rsidR="00457C6A">
        <w:t xml:space="preserve">  It’s now feasible to</w:t>
      </w:r>
      <w:r w:rsidR="00F03574">
        <w:t xml:space="preserve"> develop a plan to</w:t>
      </w:r>
      <w:r w:rsidR="00457C6A">
        <w:t xml:space="preserve"> </w:t>
      </w:r>
      <w:r w:rsidR="00F03574">
        <w:t xml:space="preserve">enter the collision market </w:t>
      </w:r>
      <w:r w:rsidR="00735653">
        <w:t xml:space="preserve">and find </w:t>
      </w:r>
      <w:r w:rsidR="00FC183C">
        <w:t xml:space="preserve">sufficient </w:t>
      </w:r>
      <w:r w:rsidR="00735653">
        <w:t xml:space="preserve">talent.  </w:t>
      </w:r>
      <w:r w:rsidR="008B5890">
        <w:t>Th</w:t>
      </w:r>
      <w:r w:rsidR="00FC183C">
        <w:t xml:space="preserve">is change in the </w:t>
      </w:r>
      <w:r w:rsidR="00FC183C">
        <w:lastRenderedPageBreak/>
        <w:t>staffing dynamic</w:t>
      </w:r>
      <w:r w:rsidR="008B5890">
        <w:t xml:space="preserve"> opens t</w:t>
      </w:r>
      <w:r w:rsidR="00636C1B">
        <w:t>he</w:t>
      </w:r>
      <w:r w:rsidR="008B5890">
        <w:t xml:space="preserve"> door to new PE entrants, and</w:t>
      </w:r>
      <w:r w:rsidR="008F1162">
        <w:t xml:space="preserve"> makes platforms </w:t>
      </w:r>
      <w:r w:rsidR="00A874A7">
        <w:t xml:space="preserve">attractive even if the </w:t>
      </w:r>
      <w:r w:rsidR="00636C1B">
        <w:t>owner operators wish to exit completely.</w:t>
      </w:r>
    </w:p>
    <w:p w14:paraId="19BDAE5A" w14:textId="413E4620" w:rsidR="004C1E46" w:rsidRPr="00BF10B2" w:rsidRDefault="00A102AD">
      <w:pPr>
        <w:rPr>
          <w:b/>
          <w:bCs/>
        </w:rPr>
      </w:pPr>
      <w:r>
        <w:rPr>
          <w:b/>
          <w:bCs/>
        </w:rPr>
        <w:t xml:space="preserve">But </w:t>
      </w:r>
      <w:r w:rsidR="00FC183C">
        <w:rPr>
          <w:b/>
          <w:bCs/>
        </w:rPr>
        <w:t>Receiving Full Consideration</w:t>
      </w:r>
      <w:r w:rsidR="00D058AB" w:rsidRPr="00BF10B2">
        <w:rPr>
          <w:b/>
          <w:bCs/>
        </w:rPr>
        <w:t xml:space="preserve"> M</w:t>
      </w:r>
      <w:r w:rsidR="00FC183C">
        <w:rPr>
          <w:b/>
          <w:bCs/>
        </w:rPr>
        <w:t>ay</w:t>
      </w:r>
      <w:r w:rsidR="00D058AB" w:rsidRPr="00BF10B2">
        <w:rPr>
          <w:b/>
          <w:bCs/>
        </w:rPr>
        <w:t xml:space="preserve"> </w:t>
      </w:r>
      <w:r w:rsidR="008F3277" w:rsidRPr="00BF10B2">
        <w:rPr>
          <w:b/>
          <w:bCs/>
        </w:rPr>
        <w:t>Take</w:t>
      </w:r>
      <w:r w:rsidR="00D058AB" w:rsidRPr="00BF10B2">
        <w:rPr>
          <w:b/>
          <w:bCs/>
        </w:rPr>
        <w:t xml:space="preserve"> 1-2 Years</w:t>
      </w:r>
    </w:p>
    <w:p w14:paraId="497F1538" w14:textId="7312D1FD" w:rsidR="00FC183C" w:rsidRDefault="00FC183C" w:rsidP="00876C42">
      <w:r>
        <w:t>Current offers come with more conditions - specifically, performance hurdles.</w:t>
      </w:r>
    </w:p>
    <w:p w14:paraId="3A4A87B4" w14:textId="50DF6228" w:rsidR="002C3D85" w:rsidRDefault="002C3D85" w:rsidP="00876C42">
      <w:r>
        <w:t>Most buyer</w:t>
      </w:r>
      <w:r w:rsidR="0085239C">
        <w:t xml:space="preserve">s </w:t>
      </w:r>
      <w:r w:rsidR="00FC183C">
        <w:t xml:space="preserve">understand </w:t>
      </w:r>
      <w:r w:rsidR="0085239C">
        <w:t>that</w:t>
      </w:r>
      <w:r w:rsidR="005271AD">
        <w:t xml:space="preserve"> from mid</w:t>
      </w:r>
      <w:r w:rsidR="00FC183C">
        <w:t>-</w:t>
      </w:r>
      <w:r w:rsidR="005271AD">
        <w:t xml:space="preserve">March onward business performance </w:t>
      </w:r>
      <w:r w:rsidR="006B18E3">
        <w:t xml:space="preserve">has been abnormally low </w:t>
      </w:r>
      <w:r w:rsidR="00E601DE">
        <w:t>and not reflective of what they’re likely to see in the future.</w:t>
      </w:r>
      <w:r w:rsidR="00FB54DC">
        <w:t xml:space="preserve">  A </w:t>
      </w:r>
      <w:r w:rsidR="00C75A6A">
        <w:t>TTM (trailing twelve month) purchase price isn’t a fair metric of value.</w:t>
      </w:r>
    </w:p>
    <w:p w14:paraId="7505ED19" w14:textId="6FCB3978" w:rsidR="0067198B" w:rsidRDefault="00ED6B11" w:rsidP="00876C42">
      <w:r>
        <w:t>To mitigate risks to the buyer t</w:t>
      </w:r>
      <w:r w:rsidR="0067198B">
        <w:t xml:space="preserve">he structure of deals </w:t>
      </w:r>
      <w:r w:rsidR="00F432E9">
        <w:t>may be</w:t>
      </w:r>
      <w:r w:rsidR="009A3AE4">
        <w:t xml:space="preserve"> different</w:t>
      </w:r>
      <w:r w:rsidR="00D8637D">
        <w:t xml:space="preserve">. </w:t>
      </w:r>
      <w:r w:rsidR="00832C2A">
        <w:t xml:space="preserve"> </w:t>
      </w:r>
      <w:r w:rsidR="00FC183C">
        <w:t>Winning offers</w:t>
      </w:r>
      <w:r w:rsidR="00111F7B">
        <w:t xml:space="preserve"> may value the business on 2019 results</w:t>
      </w:r>
      <w:r w:rsidR="00FC183C">
        <w:t xml:space="preserve"> but condition full payouts on performance hurdles in 2020 and 2021. </w:t>
      </w:r>
      <w:r w:rsidR="009B659A">
        <w:t xml:space="preserve"> </w:t>
      </w:r>
      <w:r w:rsidR="00A55316">
        <w:t>With upfront</w:t>
      </w:r>
      <w:r w:rsidR="00FC183C">
        <w:t xml:space="preserve"> consideration</w:t>
      </w:r>
      <w:r w:rsidR="004B1CE9">
        <w:t xml:space="preserve"> based on current performance</w:t>
      </w:r>
      <w:r w:rsidR="00A55316">
        <w:t>, the</w:t>
      </w:r>
      <w:r w:rsidR="004B1CE9">
        <w:t xml:space="preserve"> “earnout” </w:t>
      </w:r>
      <w:r w:rsidR="00A55316">
        <w:t xml:space="preserve">portion may be paid out </w:t>
      </w:r>
      <w:r w:rsidR="004B1CE9">
        <w:t>over the next year or two based on the business returning to those levels.</w:t>
      </w:r>
    </w:p>
    <w:p w14:paraId="3CC5F2D0" w14:textId="0DDE7E5E" w:rsidR="004C1E46" w:rsidRPr="00BF10B2" w:rsidRDefault="004C1E46">
      <w:pPr>
        <w:rPr>
          <w:b/>
          <w:bCs/>
        </w:rPr>
      </w:pPr>
      <w:r w:rsidRPr="00BF10B2">
        <w:rPr>
          <w:b/>
          <w:bCs/>
        </w:rPr>
        <w:t>Conclusion</w:t>
      </w:r>
    </w:p>
    <w:p w14:paraId="45A924B2" w14:textId="2DD45A03" w:rsidR="00A55316" w:rsidRDefault="000104F0">
      <w:pPr>
        <w:pBdr>
          <w:bottom w:val="single" w:sz="6" w:space="1" w:color="auto"/>
        </w:pBdr>
      </w:pPr>
      <w:r>
        <w:t xml:space="preserve">We’ve seen enough activity and LOIs to </w:t>
      </w:r>
      <w:r w:rsidR="00A55316">
        <w:t>recognize that significant activity</w:t>
      </w:r>
      <w:r>
        <w:t xml:space="preserve"> has returned</w:t>
      </w:r>
      <w:r w:rsidR="00A55316">
        <w:t xml:space="preserve"> for many sellers.  F</w:t>
      </w:r>
      <w:r w:rsidR="005E3AE0">
        <w:t xml:space="preserve">or </w:t>
      </w:r>
      <w:r w:rsidR="00A55316">
        <w:t>attractive platforms, values are approaching those we saw a year ago</w:t>
      </w:r>
      <w:r w:rsidR="009F129C">
        <w:t xml:space="preserve">.  </w:t>
      </w:r>
      <w:r w:rsidR="0067340A">
        <w:t>It takes 6 months or longer to</w:t>
      </w:r>
      <w:r w:rsidR="00A55316">
        <w:t xml:space="preserve"> sell</w:t>
      </w:r>
      <w:r w:rsidR="0067340A">
        <w:t xml:space="preserve"> a business, </w:t>
      </w:r>
      <w:r w:rsidR="00E67318">
        <w:t>to prepare properly for market, run an auction, identify the right partner, and close the transaction</w:t>
      </w:r>
      <w:r w:rsidR="00A55316">
        <w:t>.  As we see more transactions announced and complete those for our own clients, we will gain confidence that the market has truly returned.  By the end of the third quarter of 2020, we will have more data and stronger convictions but the trend is clear</w:t>
      </w:r>
      <w:r w:rsidR="00C44724">
        <w:t xml:space="preserve">: </w:t>
      </w:r>
      <w:r w:rsidR="00A55316">
        <w:t>The market is back!</w:t>
      </w:r>
    </w:p>
    <w:p w14:paraId="468E02C0" w14:textId="77777777" w:rsidR="0092015F" w:rsidRDefault="0092015F">
      <w:pPr>
        <w:pBdr>
          <w:bottom w:val="single" w:sz="6" w:space="1" w:color="auto"/>
        </w:pBdr>
      </w:pPr>
    </w:p>
    <w:p w14:paraId="7B2C5363" w14:textId="77777777" w:rsidR="0092015F" w:rsidRPr="00814A2E" w:rsidRDefault="0092015F" w:rsidP="0092015F">
      <w:pPr>
        <w:rPr>
          <w:b/>
          <w:bCs/>
        </w:rPr>
      </w:pPr>
      <w:r w:rsidRPr="00814A2E">
        <w:rPr>
          <w:b/>
          <w:bCs/>
        </w:rPr>
        <w:t>About FOCUS Advisors</w:t>
      </w:r>
      <w:r>
        <w:rPr>
          <w:b/>
          <w:bCs/>
        </w:rPr>
        <w:t xml:space="preserve"> and David Roberts</w:t>
      </w:r>
      <w:r w:rsidRPr="00814A2E">
        <w:rPr>
          <w:b/>
          <w:bCs/>
        </w:rPr>
        <w:t>:</w:t>
      </w:r>
    </w:p>
    <w:p w14:paraId="6E87F30D" w14:textId="2AEF1475" w:rsidR="0092015F" w:rsidRDefault="0092015F" w:rsidP="0092015F">
      <w:r>
        <w:t xml:space="preserve">FOCUS Advisors (focusadvisors.com) is a full-service FINRA-registered M&amp;A advisory firm serving collision industry entrepreneurs looking for advice about growth and sale options, representing them in raising capital or selling their businesses.  With more than 20 collision industry transactions in the last 5 years including recent sales of large MSOs such as </w:t>
      </w:r>
      <w:r>
        <w:t xml:space="preserve">Fix Auto ACAB, </w:t>
      </w:r>
      <w:r>
        <w:t>Price’s Collision in Nashville and Herb’s Body and Paint in Dallas, David Roberts is the industry’s leading advisor to MSOs and single shops.  As the co-founder, Chairman and Chief Development Officer, he helped Caliber raise more than $120 million in capital and acquire 37 shops before its sale in 2008.</w:t>
      </w:r>
    </w:p>
    <w:p w14:paraId="636CE72B" w14:textId="77777777" w:rsidR="005C7440" w:rsidRDefault="005C7440">
      <w:pPr>
        <w:pBdr>
          <w:bottom w:val="single" w:sz="6" w:space="1" w:color="auto"/>
        </w:pBdr>
      </w:pPr>
    </w:p>
    <w:p w14:paraId="0640037D" w14:textId="77777777" w:rsidR="00B52DDD" w:rsidRDefault="00B52DDD">
      <w:pPr>
        <w:pBdr>
          <w:bottom w:val="single" w:sz="6" w:space="1" w:color="auto"/>
        </w:pBdr>
      </w:pPr>
    </w:p>
    <w:p w14:paraId="3AFDBD9A" w14:textId="22CCC543" w:rsidR="00DD77F1" w:rsidRDefault="00DD77F1">
      <w:r>
        <w:t>Citings:</w:t>
      </w:r>
    </w:p>
    <w:p w14:paraId="24B861D9" w14:textId="06E349F2" w:rsidR="00DD77F1" w:rsidRDefault="0073480B" w:rsidP="00DD77F1">
      <w:pPr>
        <w:pStyle w:val="ListParagraph"/>
        <w:numPr>
          <w:ilvl w:val="0"/>
          <w:numId w:val="6"/>
        </w:numPr>
      </w:pPr>
      <w:r>
        <w:t xml:space="preserve">ACA/AASA Auto Aftermarket Growth Projection: </w:t>
      </w:r>
      <w:hyperlink r:id="rId7" w:history="1">
        <w:r w:rsidRPr="00D52BC8">
          <w:rPr>
            <w:rStyle w:val="Hyperlink"/>
          </w:rPr>
          <w:t>https://collisionweek.com/2020/06/08/total-u-s-aftermarket-forecast-decline-8-8-expected-rebound-2021/</w:t>
        </w:r>
      </w:hyperlink>
    </w:p>
    <w:p w14:paraId="5898884D" w14:textId="443F531A" w:rsidR="00ED17C1" w:rsidRDefault="00E84248" w:rsidP="00DD77F1">
      <w:pPr>
        <w:pStyle w:val="ListParagraph"/>
        <w:numPr>
          <w:ilvl w:val="0"/>
          <w:numId w:val="6"/>
        </w:numPr>
      </w:pPr>
      <w:r>
        <w:t xml:space="preserve">Driving versus flying: </w:t>
      </w:r>
      <w:hyperlink r:id="rId8" w:history="1">
        <w:r w:rsidRPr="00E84248">
          <w:rPr>
            <w:rStyle w:val="Hyperlink"/>
          </w:rPr>
          <w:t>https://www.cnbc.com/2020/05/10/heres-how-travel-will-change-after-the-covid-19-pandemic-recedes.html</w:t>
        </w:r>
      </w:hyperlink>
    </w:p>
    <w:p w14:paraId="4C63E2B0" w14:textId="7BD99397" w:rsidR="00B52DDD" w:rsidRDefault="00CD4C50" w:rsidP="00DD77F1">
      <w:pPr>
        <w:pStyle w:val="ListParagraph"/>
        <w:numPr>
          <w:ilvl w:val="0"/>
          <w:numId w:val="6"/>
        </w:numPr>
      </w:pPr>
      <w:hyperlink r:id="rId9" w:history="1">
        <w:r w:rsidR="00B52DDD" w:rsidRPr="00B52DDD">
          <w:rPr>
            <w:rStyle w:val="Hyperlink"/>
          </w:rPr>
          <w:t>https://www.caranddriver.com/news/a32343158/pandemic-transportation-future-problems/</w:t>
        </w:r>
      </w:hyperlink>
    </w:p>
    <w:p w14:paraId="65000C1A" w14:textId="5972FD45" w:rsidR="00247673" w:rsidRDefault="00B13001" w:rsidP="00DD77F1">
      <w:pPr>
        <w:pStyle w:val="ListParagraph"/>
        <w:numPr>
          <w:ilvl w:val="0"/>
          <w:numId w:val="6"/>
        </w:numPr>
      </w:pPr>
      <w:r>
        <w:t>Getaway rentals</w:t>
      </w:r>
      <w:r w:rsidR="00247673">
        <w:t xml:space="preserve">: </w:t>
      </w:r>
      <w:hyperlink r:id="rId10" w:history="1">
        <w:r w:rsidR="00CA12CE" w:rsidRPr="00CA12CE">
          <w:rPr>
            <w:rStyle w:val="Hyperlink"/>
          </w:rPr>
          <w:t>https://www.bloomberg.com/news/articles/2020-06-07/airbnb-joins-vacation-rental-sites-seeing-surge-in-summer-demand?srnd=technology-vp</w:t>
        </w:r>
      </w:hyperlink>
    </w:p>
    <w:p w14:paraId="0F6B4F45" w14:textId="77777777" w:rsidR="00DD77F1" w:rsidRDefault="00DD77F1"/>
    <w:sectPr w:rsidR="00DD77F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7B9AD" w14:textId="77777777" w:rsidR="00CD4C50" w:rsidRDefault="00CD4C50" w:rsidP="006D420A">
      <w:pPr>
        <w:spacing w:after="0" w:line="240" w:lineRule="auto"/>
      </w:pPr>
      <w:r>
        <w:separator/>
      </w:r>
    </w:p>
  </w:endnote>
  <w:endnote w:type="continuationSeparator" w:id="0">
    <w:p w14:paraId="749B1D30" w14:textId="77777777" w:rsidR="00CD4C50" w:rsidRDefault="00CD4C50" w:rsidP="006D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C5824" w14:textId="77777777" w:rsidR="00CD4C50" w:rsidRDefault="00CD4C50" w:rsidP="006D420A">
      <w:pPr>
        <w:spacing w:after="0" w:line="240" w:lineRule="auto"/>
      </w:pPr>
      <w:r>
        <w:separator/>
      </w:r>
    </w:p>
  </w:footnote>
  <w:footnote w:type="continuationSeparator" w:id="0">
    <w:p w14:paraId="7174B069" w14:textId="77777777" w:rsidR="00CD4C50" w:rsidRDefault="00CD4C50" w:rsidP="006D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670"/>
      <w:gridCol w:w="3680"/>
    </w:tblGrid>
    <w:tr w:rsidR="00175F75" w14:paraId="5B6B60B1" w14:textId="77777777" w:rsidTr="009D7AD9">
      <w:tc>
        <w:tcPr>
          <w:tcW w:w="5670" w:type="dxa"/>
          <w:shd w:val="clear" w:color="auto" w:fill="auto"/>
        </w:tcPr>
        <w:p w14:paraId="3D1DBAC0" w14:textId="77777777" w:rsidR="00175F75" w:rsidRPr="004027A9" w:rsidRDefault="00175F75" w:rsidP="00175F75">
          <w:pPr>
            <w:pStyle w:val="Header"/>
            <w:rPr>
              <w:sz w:val="10"/>
              <w:szCs w:val="10"/>
            </w:rPr>
          </w:pPr>
          <w:r>
            <w:rPr>
              <w:noProof/>
              <w:sz w:val="10"/>
              <w:szCs w:val="10"/>
            </w:rPr>
            <w:drawing>
              <wp:inline distT="0" distB="0" distL="0" distR="0" wp14:anchorId="0C5AF9A8" wp14:editId="192867CB">
                <wp:extent cx="1828800" cy="539457"/>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cusAdvisors_Logo.png"/>
                        <pic:cNvPicPr/>
                      </pic:nvPicPr>
                      <pic:blipFill>
                        <a:blip r:embed="rId1"/>
                        <a:stretch>
                          <a:fillRect/>
                        </a:stretch>
                      </pic:blipFill>
                      <pic:spPr>
                        <a:xfrm>
                          <a:off x="0" y="0"/>
                          <a:ext cx="1850687" cy="545913"/>
                        </a:xfrm>
                        <a:prstGeom prst="rect">
                          <a:avLst/>
                        </a:prstGeom>
                      </pic:spPr>
                    </pic:pic>
                  </a:graphicData>
                </a:graphic>
              </wp:inline>
            </w:drawing>
          </w:r>
        </w:p>
      </w:tc>
      <w:tc>
        <w:tcPr>
          <w:tcW w:w="3680" w:type="dxa"/>
          <w:shd w:val="clear" w:color="auto" w:fill="auto"/>
        </w:tcPr>
        <w:p w14:paraId="389230EA" w14:textId="77777777" w:rsidR="00175F75" w:rsidRPr="00333547" w:rsidRDefault="00175F75" w:rsidP="00175F75">
          <w:pPr>
            <w:pStyle w:val="Header"/>
            <w:rPr>
              <w:sz w:val="20"/>
              <w:szCs w:val="24"/>
            </w:rPr>
          </w:pPr>
          <w:r w:rsidRPr="00333547">
            <w:rPr>
              <w:sz w:val="20"/>
              <w:szCs w:val="24"/>
            </w:rPr>
            <w:t>633 Carlston Ave</w:t>
          </w:r>
          <w:r w:rsidRPr="00333547">
            <w:rPr>
              <w:sz w:val="20"/>
              <w:szCs w:val="24"/>
            </w:rPr>
            <w:br/>
            <w:t>Oakland, CA 94610</w:t>
          </w:r>
          <w:r w:rsidRPr="00333547">
            <w:rPr>
              <w:sz w:val="20"/>
              <w:szCs w:val="24"/>
            </w:rPr>
            <w:br/>
          </w:r>
          <w:hyperlink r:id="rId2" w:history="1">
            <w:r w:rsidRPr="00333547">
              <w:rPr>
                <w:rStyle w:val="Hyperlink"/>
                <w:sz w:val="20"/>
                <w:szCs w:val="24"/>
              </w:rPr>
              <w:t>david.roberts@focusadvisors.com</w:t>
            </w:r>
          </w:hyperlink>
          <w:r w:rsidRPr="00333547">
            <w:rPr>
              <w:sz w:val="20"/>
              <w:szCs w:val="24"/>
            </w:rPr>
            <w:br/>
            <w:t>510-444-1173</w:t>
          </w:r>
        </w:p>
      </w:tc>
    </w:tr>
  </w:tbl>
  <w:p w14:paraId="41693E6B" w14:textId="77777777" w:rsidR="00175F75" w:rsidRPr="00B6456D" w:rsidRDefault="00175F75" w:rsidP="00175F75">
    <w:pPr>
      <w:pStyle w:val="Header"/>
      <w:rPr>
        <w:sz w:val="10"/>
        <w:szCs w:val="10"/>
      </w:rPr>
    </w:pPr>
  </w:p>
  <w:p w14:paraId="7D8C59B9" w14:textId="77777777" w:rsidR="00175F75" w:rsidRDefault="00175F75" w:rsidP="00175F75">
    <w:pPr>
      <w:pStyle w:val="Header"/>
    </w:pPr>
    <w:r>
      <w:rPr>
        <w:noProof/>
      </w:rPr>
      <mc:AlternateContent>
        <mc:Choice Requires="wps">
          <w:drawing>
            <wp:anchor distT="4294967293" distB="4294967293" distL="114300" distR="114300" simplePos="0" relativeHeight="251659264" behindDoc="0" locked="0" layoutInCell="1" allowOverlap="1" wp14:anchorId="3E228E58" wp14:editId="4EBB9744">
              <wp:simplePos x="0" y="0"/>
              <wp:positionH relativeFrom="column">
                <wp:align>center</wp:align>
              </wp:positionH>
              <wp:positionV relativeFrom="paragraph">
                <wp:posOffset>38099</wp:posOffset>
              </wp:positionV>
              <wp:extent cx="724852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AE77E" id="_x0000_t32" coordsize="21600,21600" o:spt="32" o:oned="t" path="m,l21600,21600e" filled="f">
              <v:path arrowok="t" fillok="f" o:connecttype="none"/>
              <o:lock v:ext="edit" shapetype="t"/>
            </v:shapetype>
            <v:shape id="AutoShape 1" o:spid="_x0000_s1026" type="#_x0000_t32" style="position:absolute;margin-left:0;margin-top:3pt;width:570.75pt;height:0;z-index:251659264;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" strokeweight="1pt"/>
          </w:pict>
        </mc:Fallback>
      </mc:AlternateContent>
    </w:r>
  </w:p>
  <w:p w14:paraId="14A24C61" w14:textId="77777777" w:rsidR="006D420A" w:rsidRDefault="006D4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291B"/>
    <w:multiLevelType w:val="hybridMultilevel"/>
    <w:tmpl w:val="750CE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66868"/>
    <w:multiLevelType w:val="hybridMultilevel"/>
    <w:tmpl w:val="647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6CCD"/>
    <w:multiLevelType w:val="hybridMultilevel"/>
    <w:tmpl w:val="78167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864F5C"/>
    <w:multiLevelType w:val="hybridMultilevel"/>
    <w:tmpl w:val="604C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D0986"/>
    <w:multiLevelType w:val="hybridMultilevel"/>
    <w:tmpl w:val="26A8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21923"/>
    <w:multiLevelType w:val="hybridMultilevel"/>
    <w:tmpl w:val="F0965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B28EA"/>
    <w:multiLevelType w:val="hybridMultilevel"/>
    <w:tmpl w:val="BC72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72541"/>
    <w:multiLevelType w:val="hybridMultilevel"/>
    <w:tmpl w:val="BDA62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24"/>
    <w:rsid w:val="00001D49"/>
    <w:rsid w:val="00006783"/>
    <w:rsid w:val="000104F0"/>
    <w:rsid w:val="0004397A"/>
    <w:rsid w:val="00046773"/>
    <w:rsid w:val="00074284"/>
    <w:rsid w:val="000A76B8"/>
    <w:rsid w:val="000B1078"/>
    <w:rsid w:val="000B16B0"/>
    <w:rsid w:val="000B281B"/>
    <w:rsid w:val="000C6C66"/>
    <w:rsid w:val="000D3B77"/>
    <w:rsid w:val="000D625B"/>
    <w:rsid w:val="000F4865"/>
    <w:rsid w:val="00111F7B"/>
    <w:rsid w:val="00114BA6"/>
    <w:rsid w:val="00131BC3"/>
    <w:rsid w:val="001359EE"/>
    <w:rsid w:val="00156D72"/>
    <w:rsid w:val="00160795"/>
    <w:rsid w:val="00162269"/>
    <w:rsid w:val="00174069"/>
    <w:rsid w:val="00175110"/>
    <w:rsid w:val="00175F75"/>
    <w:rsid w:val="00176235"/>
    <w:rsid w:val="00182FAC"/>
    <w:rsid w:val="0018642F"/>
    <w:rsid w:val="00191737"/>
    <w:rsid w:val="00193C2D"/>
    <w:rsid w:val="00194585"/>
    <w:rsid w:val="00196AB2"/>
    <w:rsid w:val="001A0259"/>
    <w:rsid w:val="001A07FD"/>
    <w:rsid w:val="001A2DBF"/>
    <w:rsid w:val="001A3708"/>
    <w:rsid w:val="001B49AA"/>
    <w:rsid w:val="001B58F4"/>
    <w:rsid w:val="001B6DE1"/>
    <w:rsid w:val="001C4C75"/>
    <w:rsid w:val="001C58DF"/>
    <w:rsid w:val="001D5ACA"/>
    <w:rsid w:val="001E1101"/>
    <w:rsid w:val="001F08A3"/>
    <w:rsid w:val="002044CC"/>
    <w:rsid w:val="00206D82"/>
    <w:rsid w:val="002100F2"/>
    <w:rsid w:val="002110D6"/>
    <w:rsid w:val="00220796"/>
    <w:rsid w:val="00234A50"/>
    <w:rsid w:val="0023673D"/>
    <w:rsid w:val="00247673"/>
    <w:rsid w:val="00260B43"/>
    <w:rsid w:val="00262F8B"/>
    <w:rsid w:val="00263504"/>
    <w:rsid w:val="002641D2"/>
    <w:rsid w:val="002776A4"/>
    <w:rsid w:val="00290FC8"/>
    <w:rsid w:val="0029554E"/>
    <w:rsid w:val="00295CA1"/>
    <w:rsid w:val="0029635C"/>
    <w:rsid w:val="002B287E"/>
    <w:rsid w:val="002C07B5"/>
    <w:rsid w:val="002C3D85"/>
    <w:rsid w:val="002D62C8"/>
    <w:rsid w:val="002F1C2A"/>
    <w:rsid w:val="002F47DF"/>
    <w:rsid w:val="00300CAB"/>
    <w:rsid w:val="00302CA2"/>
    <w:rsid w:val="00310C32"/>
    <w:rsid w:val="003155A0"/>
    <w:rsid w:val="00315F27"/>
    <w:rsid w:val="00336332"/>
    <w:rsid w:val="00345815"/>
    <w:rsid w:val="0034756F"/>
    <w:rsid w:val="00352247"/>
    <w:rsid w:val="0035503E"/>
    <w:rsid w:val="00355DBA"/>
    <w:rsid w:val="0035637F"/>
    <w:rsid w:val="00366DEF"/>
    <w:rsid w:val="0038075C"/>
    <w:rsid w:val="0038509F"/>
    <w:rsid w:val="00386607"/>
    <w:rsid w:val="00396B8A"/>
    <w:rsid w:val="003A7F43"/>
    <w:rsid w:val="003B0388"/>
    <w:rsid w:val="003C7B17"/>
    <w:rsid w:val="003E3C58"/>
    <w:rsid w:val="004105FE"/>
    <w:rsid w:val="00412A5C"/>
    <w:rsid w:val="00414A28"/>
    <w:rsid w:val="00415AB6"/>
    <w:rsid w:val="00421997"/>
    <w:rsid w:val="00433D3B"/>
    <w:rsid w:val="00457C6A"/>
    <w:rsid w:val="0046149C"/>
    <w:rsid w:val="00462360"/>
    <w:rsid w:val="00464265"/>
    <w:rsid w:val="00481B1B"/>
    <w:rsid w:val="004A20D6"/>
    <w:rsid w:val="004A2FD8"/>
    <w:rsid w:val="004A759A"/>
    <w:rsid w:val="004B1CE9"/>
    <w:rsid w:val="004B248D"/>
    <w:rsid w:val="004B4C17"/>
    <w:rsid w:val="004B54FC"/>
    <w:rsid w:val="004B58E7"/>
    <w:rsid w:val="004C1E46"/>
    <w:rsid w:val="004C31CF"/>
    <w:rsid w:val="004D7B97"/>
    <w:rsid w:val="004F115E"/>
    <w:rsid w:val="004F5D31"/>
    <w:rsid w:val="00500F84"/>
    <w:rsid w:val="00502301"/>
    <w:rsid w:val="0051111D"/>
    <w:rsid w:val="00523528"/>
    <w:rsid w:val="005263BA"/>
    <w:rsid w:val="005271AD"/>
    <w:rsid w:val="00536838"/>
    <w:rsid w:val="00562B4F"/>
    <w:rsid w:val="00563507"/>
    <w:rsid w:val="00563811"/>
    <w:rsid w:val="00570396"/>
    <w:rsid w:val="0058500D"/>
    <w:rsid w:val="005857E0"/>
    <w:rsid w:val="00590AAC"/>
    <w:rsid w:val="00591356"/>
    <w:rsid w:val="00594593"/>
    <w:rsid w:val="005A467A"/>
    <w:rsid w:val="005A6AF3"/>
    <w:rsid w:val="005C7267"/>
    <w:rsid w:val="005C7440"/>
    <w:rsid w:val="005D13A9"/>
    <w:rsid w:val="005D5F67"/>
    <w:rsid w:val="005E3AE0"/>
    <w:rsid w:val="006074DB"/>
    <w:rsid w:val="00622799"/>
    <w:rsid w:val="00632543"/>
    <w:rsid w:val="00636C1B"/>
    <w:rsid w:val="00644CC4"/>
    <w:rsid w:val="006526A6"/>
    <w:rsid w:val="006608FE"/>
    <w:rsid w:val="0067198B"/>
    <w:rsid w:val="0067340A"/>
    <w:rsid w:val="00680CB8"/>
    <w:rsid w:val="00685954"/>
    <w:rsid w:val="00687658"/>
    <w:rsid w:val="006972BD"/>
    <w:rsid w:val="006B10B6"/>
    <w:rsid w:val="006B18E3"/>
    <w:rsid w:val="006C26F1"/>
    <w:rsid w:val="006D420A"/>
    <w:rsid w:val="006D591D"/>
    <w:rsid w:val="006E4B2A"/>
    <w:rsid w:val="006E7073"/>
    <w:rsid w:val="006F5623"/>
    <w:rsid w:val="00710F50"/>
    <w:rsid w:val="0073480B"/>
    <w:rsid w:val="00735073"/>
    <w:rsid w:val="00735653"/>
    <w:rsid w:val="0074573A"/>
    <w:rsid w:val="00757E56"/>
    <w:rsid w:val="00762682"/>
    <w:rsid w:val="0076426C"/>
    <w:rsid w:val="0077265F"/>
    <w:rsid w:val="00780CF1"/>
    <w:rsid w:val="00792A4A"/>
    <w:rsid w:val="00796EE4"/>
    <w:rsid w:val="007A3AE3"/>
    <w:rsid w:val="007B1752"/>
    <w:rsid w:val="007B2DBA"/>
    <w:rsid w:val="007B7BFC"/>
    <w:rsid w:val="007D7A1E"/>
    <w:rsid w:val="007E152C"/>
    <w:rsid w:val="007E5422"/>
    <w:rsid w:val="007F429A"/>
    <w:rsid w:val="008078CC"/>
    <w:rsid w:val="0081123A"/>
    <w:rsid w:val="00814EB3"/>
    <w:rsid w:val="00814F12"/>
    <w:rsid w:val="00827D32"/>
    <w:rsid w:val="00831D4B"/>
    <w:rsid w:val="00832C2A"/>
    <w:rsid w:val="008446BE"/>
    <w:rsid w:val="00847389"/>
    <w:rsid w:val="00847501"/>
    <w:rsid w:val="0085239C"/>
    <w:rsid w:val="00856EA3"/>
    <w:rsid w:val="008641DD"/>
    <w:rsid w:val="00876C42"/>
    <w:rsid w:val="00877DA0"/>
    <w:rsid w:val="00881562"/>
    <w:rsid w:val="008852B6"/>
    <w:rsid w:val="00894525"/>
    <w:rsid w:val="008953E9"/>
    <w:rsid w:val="008B5890"/>
    <w:rsid w:val="008C6383"/>
    <w:rsid w:val="008E01F5"/>
    <w:rsid w:val="008E437F"/>
    <w:rsid w:val="008E7C7F"/>
    <w:rsid w:val="008F1162"/>
    <w:rsid w:val="008F3277"/>
    <w:rsid w:val="008F48A7"/>
    <w:rsid w:val="008F7918"/>
    <w:rsid w:val="00902DEE"/>
    <w:rsid w:val="00903224"/>
    <w:rsid w:val="00904A8B"/>
    <w:rsid w:val="0090769E"/>
    <w:rsid w:val="00914E07"/>
    <w:rsid w:val="0092015F"/>
    <w:rsid w:val="0092089B"/>
    <w:rsid w:val="009308F2"/>
    <w:rsid w:val="00931E6B"/>
    <w:rsid w:val="00944824"/>
    <w:rsid w:val="00952EF0"/>
    <w:rsid w:val="00956630"/>
    <w:rsid w:val="0095777C"/>
    <w:rsid w:val="00967FD7"/>
    <w:rsid w:val="00994A58"/>
    <w:rsid w:val="009A3AE4"/>
    <w:rsid w:val="009A46BD"/>
    <w:rsid w:val="009B50AC"/>
    <w:rsid w:val="009B5339"/>
    <w:rsid w:val="009B659A"/>
    <w:rsid w:val="009C329F"/>
    <w:rsid w:val="009C64B2"/>
    <w:rsid w:val="009D3AB0"/>
    <w:rsid w:val="009D465F"/>
    <w:rsid w:val="009E3601"/>
    <w:rsid w:val="009F129C"/>
    <w:rsid w:val="009F75B7"/>
    <w:rsid w:val="00A102AD"/>
    <w:rsid w:val="00A12280"/>
    <w:rsid w:val="00A250E5"/>
    <w:rsid w:val="00A34FE7"/>
    <w:rsid w:val="00A420A6"/>
    <w:rsid w:val="00A42304"/>
    <w:rsid w:val="00A55316"/>
    <w:rsid w:val="00A70EF7"/>
    <w:rsid w:val="00A74C39"/>
    <w:rsid w:val="00A75EF2"/>
    <w:rsid w:val="00A8420F"/>
    <w:rsid w:val="00A84B48"/>
    <w:rsid w:val="00A874A7"/>
    <w:rsid w:val="00A92B21"/>
    <w:rsid w:val="00AA5FF4"/>
    <w:rsid w:val="00AB1344"/>
    <w:rsid w:val="00AD57A8"/>
    <w:rsid w:val="00AF46E2"/>
    <w:rsid w:val="00B01B7A"/>
    <w:rsid w:val="00B0757B"/>
    <w:rsid w:val="00B12C10"/>
    <w:rsid w:val="00B13001"/>
    <w:rsid w:val="00B13906"/>
    <w:rsid w:val="00B30B19"/>
    <w:rsid w:val="00B41B1F"/>
    <w:rsid w:val="00B52DDD"/>
    <w:rsid w:val="00B55259"/>
    <w:rsid w:val="00B670F3"/>
    <w:rsid w:val="00B9184B"/>
    <w:rsid w:val="00BB0BF5"/>
    <w:rsid w:val="00BB0DF7"/>
    <w:rsid w:val="00BC0853"/>
    <w:rsid w:val="00BC223D"/>
    <w:rsid w:val="00BC429C"/>
    <w:rsid w:val="00BD2EDB"/>
    <w:rsid w:val="00BF10B2"/>
    <w:rsid w:val="00BF28D3"/>
    <w:rsid w:val="00C25F6B"/>
    <w:rsid w:val="00C3146C"/>
    <w:rsid w:val="00C348A5"/>
    <w:rsid w:val="00C3752E"/>
    <w:rsid w:val="00C42623"/>
    <w:rsid w:val="00C44724"/>
    <w:rsid w:val="00C50583"/>
    <w:rsid w:val="00C51578"/>
    <w:rsid w:val="00C660F8"/>
    <w:rsid w:val="00C72B0F"/>
    <w:rsid w:val="00C759E5"/>
    <w:rsid w:val="00C75A6A"/>
    <w:rsid w:val="00C75B52"/>
    <w:rsid w:val="00C77375"/>
    <w:rsid w:val="00CA12CE"/>
    <w:rsid w:val="00CA3E69"/>
    <w:rsid w:val="00CB0C2E"/>
    <w:rsid w:val="00CB32E9"/>
    <w:rsid w:val="00CB3FF6"/>
    <w:rsid w:val="00CD4B3B"/>
    <w:rsid w:val="00CD4C50"/>
    <w:rsid w:val="00CE2B8E"/>
    <w:rsid w:val="00CF017D"/>
    <w:rsid w:val="00CF77EB"/>
    <w:rsid w:val="00D01642"/>
    <w:rsid w:val="00D023D4"/>
    <w:rsid w:val="00D0313B"/>
    <w:rsid w:val="00D058AB"/>
    <w:rsid w:val="00D06ED1"/>
    <w:rsid w:val="00D07326"/>
    <w:rsid w:val="00D12433"/>
    <w:rsid w:val="00D254EB"/>
    <w:rsid w:val="00D70279"/>
    <w:rsid w:val="00D83128"/>
    <w:rsid w:val="00D85957"/>
    <w:rsid w:val="00D8637D"/>
    <w:rsid w:val="00D868C1"/>
    <w:rsid w:val="00D93C89"/>
    <w:rsid w:val="00DB62E5"/>
    <w:rsid w:val="00DC011C"/>
    <w:rsid w:val="00DD77F1"/>
    <w:rsid w:val="00E06F03"/>
    <w:rsid w:val="00E13697"/>
    <w:rsid w:val="00E221DA"/>
    <w:rsid w:val="00E265E4"/>
    <w:rsid w:val="00E3500C"/>
    <w:rsid w:val="00E36C9C"/>
    <w:rsid w:val="00E56FE4"/>
    <w:rsid w:val="00E601DE"/>
    <w:rsid w:val="00E6030B"/>
    <w:rsid w:val="00E61EC7"/>
    <w:rsid w:val="00E67318"/>
    <w:rsid w:val="00E67CFE"/>
    <w:rsid w:val="00E8300A"/>
    <w:rsid w:val="00E84248"/>
    <w:rsid w:val="00E91144"/>
    <w:rsid w:val="00E930CF"/>
    <w:rsid w:val="00EA0719"/>
    <w:rsid w:val="00EA2106"/>
    <w:rsid w:val="00EC4D9B"/>
    <w:rsid w:val="00ED17C1"/>
    <w:rsid w:val="00ED3438"/>
    <w:rsid w:val="00ED6B11"/>
    <w:rsid w:val="00ED6F76"/>
    <w:rsid w:val="00EE3EBB"/>
    <w:rsid w:val="00EF7C70"/>
    <w:rsid w:val="00F03574"/>
    <w:rsid w:val="00F05A35"/>
    <w:rsid w:val="00F07D59"/>
    <w:rsid w:val="00F21711"/>
    <w:rsid w:val="00F27986"/>
    <w:rsid w:val="00F279D3"/>
    <w:rsid w:val="00F3138A"/>
    <w:rsid w:val="00F432E9"/>
    <w:rsid w:val="00F503B6"/>
    <w:rsid w:val="00F53746"/>
    <w:rsid w:val="00F6185A"/>
    <w:rsid w:val="00F6642C"/>
    <w:rsid w:val="00F71595"/>
    <w:rsid w:val="00F73CB1"/>
    <w:rsid w:val="00F814BA"/>
    <w:rsid w:val="00F87CE8"/>
    <w:rsid w:val="00FA679C"/>
    <w:rsid w:val="00FB085E"/>
    <w:rsid w:val="00FB54DC"/>
    <w:rsid w:val="00FB7776"/>
    <w:rsid w:val="00FC183C"/>
    <w:rsid w:val="00FC7AF4"/>
    <w:rsid w:val="00FE13D1"/>
    <w:rsid w:val="00FE4620"/>
    <w:rsid w:val="00FF138B"/>
    <w:rsid w:val="00FF1A9A"/>
    <w:rsid w:val="00FF3389"/>
    <w:rsid w:val="18C9A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B2D6"/>
  <w15:chartTrackingRefBased/>
  <w15:docId w15:val="{C0B1CEE5-D3FE-4508-B234-63F5428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98B"/>
    <w:pPr>
      <w:ind w:left="720"/>
      <w:contextualSpacing/>
    </w:pPr>
  </w:style>
  <w:style w:type="character" w:styleId="Hyperlink">
    <w:name w:val="Hyperlink"/>
    <w:basedOn w:val="DefaultParagraphFont"/>
    <w:uiPriority w:val="99"/>
    <w:unhideWhenUsed/>
    <w:rsid w:val="000C6C66"/>
    <w:rPr>
      <w:color w:val="0563C1" w:themeColor="hyperlink"/>
      <w:u w:val="single"/>
    </w:rPr>
  </w:style>
  <w:style w:type="character" w:styleId="UnresolvedMention">
    <w:name w:val="Unresolved Mention"/>
    <w:basedOn w:val="DefaultParagraphFont"/>
    <w:uiPriority w:val="99"/>
    <w:semiHidden/>
    <w:unhideWhenUsed/>
    <w:rsid w:val="000C6C66"/>
    <w:rPr>
      <w:color w:val="605E5C"/>
      <w:shd w:val="clear" w:color="auto" w:fill="E1DFDD"/>
    </w:rPr>
  </w:style>
  <w:style w:type="paragraph" w:styleId="BalloonText">
    <w:name w:val="Balloon Text"/>
    <w:basedOn w:val="Normal"/>
    <w:link w:val="BalloonTextChar"/>
    <w:uiPriority w:val="99"/>
    <w:semiHidden/>
    <w:unhideWhenUsed/>
    <w:rsid w:val="00262F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2F8B"/>
    <w:rPr>
      <w:rFonts w:ascii="Times New Roman" w:hAnsi="Times New Roman" w:cs="Times New Roman"/>
      <w:sz w:val="18"/>
      <w:szCs w:val="18"/>
    </w:rPr>
  </w:style>
  <w:style w:type="paragraph" w:styleId="Header">
    <w:name w:val="header"/>
    <w:basedOn w:val="Normal"/>
    <w:link w:val="HeaderChar"/>
    <w:uiPriority w:val="99"/>
    <w:unhideWhenUsed/>
    <w:rsid w:val="006D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20A"/>
  </w:style>
  <w:style w:type="paragraph" w:styleId="Footer">
    <w:name w:val="footer"/>
    <w:basedOn w:val="Normal"/>
    <w:link w:val="FooterChar"/>
    <w:uiPriority w:val="99"/>
    <w:unhideWhenUsed/>
    <w:rsid w:val="006D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20/05/10/heres-how-travel-will-change-after-the-covid-19-pandemic-reced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lisionweek.com/2020/06/08/total-u-s-aftermarket-forecast-decline-8-8-expected-rebound-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loomberg.com/news/articles/2020-06-07/airbnb-joins-vacation-rental-sites-seeing-surge-in-summer-demand?srnd=technology-vp" TargetMode="External"/><Relationship Id="rId4" Type="http://schemas.openxmlformats.org/officeDocument/2006/relationships/webSettings" Target="webSettings.xml"/><Relationship Id="rId9" Type="http://schemas.openxmlformats.org/officeDocument/2006/relationships/hyperlink" Target="https://www.caranddriver.com/news/a32343158/pandemic-transportation-future-problem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avid.roberts@focusadviso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Lane</dc:creator>
  <cp:keywords/>
  <dc:description/>
  <cp:lastModifiedBy>Chris Lane</cp:lastModifiedBy>
  <cp:revision>37</cp:revision>
  <dcterms:created xsi:type="dcterms:W3CDTF">2020-07-24T17:18:00Z</dcterms:created>
  <dcterms:modified xsi:type="dcterms:W3CDTF">2020-07-24T20:57:00Z</dcterms:modified>
</cp:coreProperties>
</file>